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36583" w14:textId="77777777" w:rsidR="00F3582F" w:rsidRDefault="00783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I. РЕЄСТРАЦІЙНА КАРТКА ПРОГРАМИ І ПРОЕКТУ РЕГІОНАЛЬНОГО РОЗВИТКУ, ЩО МОЖЕ РЕАЛІЗОВУВАТИСЯ ЗА РАХУНОК КОШТІВ ДЕРЖАВНОГО ФОНДУ РЕГІОНАЛЬНОГО РОЗВИТКУ</w:t>
      </w:r>
    </w:p>
    <w:tbl>
      <w:tblPr>
        <w:tblStyle w:val="affb"/>
        <w:tblW w:w="10425" w:type="dxa"/>
        <w:tblInd w:w="-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47"/>
        <w:gridCol w:w="1230"/>
        <w:gridCol w:w="705"/>
        <w:gridCol w:w="705"/>
        <w:gridCol w:w="2038"/>
      </w:tblGrid>
      <w:tr w:rsidR="00F3582F" w14:paraId="542368BD" w14:textId="77777777">
        <w:trPr>
          <w:trHeight w:val="1002"/>
        </w:trPr>
        <w:tc>
          <w:tcPr>
            <w:tcW w:w="57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2A09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програми і проекту регіонального розвитку, що може реалізовуватися за рахунок коштів державного фонду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регіонального розвитку (далі - проект)</w:t>
            </w:r>
          </w:p>
        </w:tc>
        <w:tc>
          <w:tcPr>
            <w:tcW w:w="467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B4DC5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комп’ютерним та іншим спеціалізованим обладнанням Центр надання адміністративних послуг Хотинської міської ради</w:t>
            </w:r>
          </w:p>
        </w:tc>
      </w:tr>
      <w:tr w:rsidR="00F3582F" w14:paraId="24A381E9" w14:textId="77777777">
        <w:trPr>
          <w:trHeight w:val="735"/>
        </w:trPr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60342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адміністративно-територіальної одиниці з класифікатора об’єктів адміністративно-територ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іального устрою України, де здійснюється реалізація проекту</w:t>
            </w:r>
          </w:p>
        </w:tc>
        <w:tc>
          <w:tcPr>
            <w:tcW w:w="467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7EAB1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7325010100‌</w:t>
            </w:r>
          </w:p>
        </w:tc>
      </w:tr>
      <w:tr w:rsidR="00F3582F" w14:paraId="3C1B1C47" w14:textId="77777777">
        <w:trPr>
          <w:trHeight w:val="1086"/>
        </w:trPr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B99EB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Заявник (найменування центрального/місцевого органу виконавчої влади, органу виконавчої влади Автономної Республіки Крим / органу місцевого самоврядування / агенції регіонального розвитку)</w:t>
            </w:r>
          </w:p>
        </w:tc>
        <w:tc>
          <w:tcPr>
            <w:tcW w:w="467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C90C8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Хотинська міська рада</w:t>
            </w:r>
          </w:p>
        </w:tc>
      </w:tr>
      <w:tr w:rsidR="00F3582F" w14:paraId="06971F68" w14:textId="77777777">
        <w:trPr>
          <w:trHeight w:val="195"/>
        </w:trPr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89E8A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та назва технічного завдання, на виконання якого реалізовується проект</w:t>
            </w:r>
          </w:p>
        </w:tc>
        <w:tc>
          <w:tcPr>
            <w:tcW w:w="467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710AB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1.2.4 Розвиток інституційної підтримки підприємництва</w:t>
            </w:r>
          </w:p>
        </w:tc>
      </w:tr>
      <w:tr w:rsidR="00F3582F" w14:paraId="1EC119D1" w14:textId="77777777">
        <w:trPr>
          <w:trHeight w:val="1095"/>
        </w:trPr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7D7E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і назва завдання з </w:t>
            </w:r>
            <w:hyperlink r:id="rId8" w:anchor="n1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Державної стратегії регіонального розвитку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якому відповідає проект</w:t>
            </w:r>
          </w:p>
        </w:tc>
        <w:tc>
          <w:tcPr>
            <w:tcW w:w="467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74B21" w14:textId="77777777" w:rsidR="00F3582F" w:rsidRDefault="0078308C">
            <w:pPr>
              <w:shd w:val="clear" w:color="auto" w:fill="FFFFFF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Стратегічна ціль I. “Формування згуртованої держави в соціальному, гуманітарному, економічному, екологічному,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безпековому та просторовому вимірах”</w:t>
            </w:r>
          </w:p>
          <w:p w14:paraId="5559EA4F" w14:textId="77777777" w:rsidR="00F3582F" w:rsidRDefault="0078308C">
            <w:pPr>
              <w:shd w:val="clear" w:color="auto" w:fill="FFFFFF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 ціль 4 “Розвиток інфраструктури та цифрова трансформація регіонів”</w:t>
            </w:r>
          </w:p>
          <w:p w14:paraId="757EB0D0" w14:textId="77777777" w:rsidR="00F3582F" w:rsidRDefault="0078308C">
            <w:pPr>
              <w:shd w:val="clear" w:color="auto" w:fill="FFFFFF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 за напрямом “Розвиток інженерної інфраструктури”</w:t>
            </w:r>
          </w:p>
          <w:p w14:paraId="18520CC8" w14:textId="77777777" w:rsidR="00F3582F" w:rsidRDefault="0078308C">
            <w:pPr>
              <w:shd w:val="clear" w:color="auto" w:fill="FFFFFF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Сприяння створенню моделі “енергоефективна громада”, спрямованої на першочергове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впорядкування об’єктів комунальної власності з поступовим переходом до об’єктів житлового фонду,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можливість ефективного використання бюджетів територіальних громад.</w:t>
            </w:r>
          </w:p>
        </w:tc>
      </w:tr>
      <w:tr w:rsidR="00F3582F" w14:paraId="52EC367E" w14:textId="77777777">
        <w:trPr>
          <w:trHeight w:val="1620"/>
        </w:trPr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83380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і назва завдання з відповідної стратегії розвитку регіону, якому відповідає проект</w:t>
            </w:r>
          </w:p>
        </w:tc>
        <w:tc>
          <w:tcPr>
            <w:tcW w:w="467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CA7C4" w14:textId="77777777" w:rsidR="00F3582F" w:rsidRDefault="007830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відповідає Стратегії розвитку Чернівецької області на період до 2027 року.</w:t>
            </w:r>
          </w:p>
          <w:p w14:paraId="14ACE432" w14:textId="77777777" w:rsidR="00F3582F" w:rsidRDefault="007830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Стратегічна ціль: 2. Просторове планування та розвиток інфраструктури</w:t>
            </w:r>
          </w:p>
          <w:p w14:paraId="47BB0B69" w14:textId="77777777" w:rsidR="00F3582F" w:rsidRDefault="007830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 ціль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2.2. Забезпечення розвитку</w:t>
            </w:r>
          </w:p>
          <w:p w14:paraId="6DB18C4A" w14:textId="77777777" w:rsidR="00F3582F" w:rsidRDefault="007830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інфраструктури регіону.</w:t>
            </w:r>
          </w:p>
          <w:p w14:paraId="4F5FE838" w14:textId="77777777" w:rsidR="00F3582F" w:rsidRDefault="007830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Завдання: 2.2.6. Підвищення рівня благоустрою населених пунктів</w:t>
            </w:r>
          </w:p>
          <w:p w14:paraId="2D5C9791" w14:textId="77777777" w:rsidR="00F3582F" w:rsidRDefault="007830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створення безперешкодного життєвого середовища</w:t>
            </w:r>
          </w:p>
          <w:p w14:paraId="542F6CBE" w14:textId="77777777" w:rsidR="00F3582F" w:rsidRDefault="007830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осіб з обмеженими фізичними можливостями та</w:t>
            </w:r>
          </w:p>
          <w:p w14:paraId="3A6B9169" w14:textId="77777777" w:rsidR="00F3582F" w:rsidRDefault="007830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 маломобільних груп населення.</w:t>
            </w:r>
          </w:p>
          <w:p w14:paraId="4BB6418F" w14:textId="77777777" w:rsidR="00F3582F" w:rsidRDefault="00F358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FDF1AD" w14:textId="77777777" w:rsidR="00F3582F" w:rsidRDefault="00F358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54D0" w14:textId="77777777" w:rsidR="00F3582F" w:rsidRDefault="007830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відповідає Програмі економічного і соціального розвитку Хотинської міської територіальної громади на 2021 рік.</w:t>
            </w:r>
          </w:p>
          <w:p w14:paraId="7C1B76AB" w14:textId="77777777" w:rsidR="00F3582F" w:rsidRDefault="007830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Стратегічна ціль: Розвиток населених пунктів громади</w:t>
            </w:r>
          </w:p>
          <w:p w14:paraId="44A4666C" w14:textId="77777777" w:rsidR="00F3582F" w:rsidRDefault="007830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Операційна ціль: Забезпечення енергобезпеки, формування енергоефективного господарств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14:paraId="71FA1114" w14:textId="77777777" w:rsidR="00F3582F" w:rsidRDefault="007830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Завдання: проведення енергоефективних заходів в бюджетних закладах</w:t>
            </w:r>
          </w:p>
          <w:p w14:paraId="216E0FEC" w14:textId="77777777" w:rsidR="00F3582F" w:rsidRDefault="0078308C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ефективного використання паливно-енергетичних ресурсів</w:t>
            </w:r>
          </w:p>
          <w:p w14:paraId="16659AB1" w14:textId="77777777" w:rsidR="00F3582F" w:rsidRDefault="00F3582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82F" w14:paraId="37A35B7C" w14:textId="77777777">
        <w:trPr>
          <w:trHeight w:val="165"/>
        </w:trPr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5079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Період реалізації проекту (з (місяць, рік) до (місяць, рік))</w:t>
            </w:r>
          </w:p>
        </w:tc>
        <w:tc>
          <w:tcPr>
            <w:tcW w:w="467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2FD7B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травень 2022 р. – грудень 2022 р.</w:t>
            </w:r>
          </w:p>
        </w:tc>
      </w:tr>
      <w:tr w:rsidR="00F3582F" w14:paraId="29B5BEA9" w14:textId="77777777">
        <w:trPr>
          <w:trHeight w:val="176"/>
        </w:trPr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96B02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кошторисна вартість проекту, тис. грн</w:t>
            </w:r>
          </w:p>
        </w:tc>
        <w:tc>
          <w:tcPr>
            <w:tcW w:w="467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ADFBA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882,98</w:t>
            </w:r>
          </w:p>
        </w:tc>
      </w:tr>
      <w:tr w:rsidR="00F3582F" w14:paraId="62A34322" w14:textId="77777777">
        <w:trPr>
          <w:trHeight w:val="90"/>
        </w:trPr>
        <w:tc>
          <w:tcPr>
            <w:tcW w:w="574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015F0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Очікуваний обсяг фінансування проекту з державного фонду регіонального розвитку (далі - ДФРР), тис. грн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66909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рік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857BC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рік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A9C7E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рік</w:t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5568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F3582F" w14:paraId="0B4DDBEB" w14:textId="77777777">
        <w:trPr>
          <w:trHeight w:val="15"/>
        </w:trPr>
        <w:tc>
          <w:tcPr>
            <w:tcW w:w="57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34CB7" w14:textId="77777777" w:rsidR="00F3582F" w:rsidRDefault="00F3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2C866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794,682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EA234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1AB15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D511E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794,682</w:t>
            </w:r>
          </w:p>
        </w:tc>
      </w:tr>
      <w:tr w:rsidR="00F3582F" w14:paraId="1E46F54C" w14:textId="77777777">
        <w:trPr>
          <w:trHeight w:val="197"/>
        </w:trPr>
        <w:tc>
          <w:tcPr>
            <w:tcW w:w="574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8F0D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 співфінансування проекту з місцевого бюджету, тис. грн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EC6E7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рік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17C4F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рік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ACE39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рік</w:t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2D5D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F3582F" w14:paraId="7843B676" w14:textId="77777777">
        <w:trPr>
          <w:trHeight w:val="39"/>
        </w:trPr>
        <w:tc>
          <w:tcPr>
            <w:tcW w:w="57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D140B" w14:textId="77777777" w:rsidR="00F3582F" w:rsidRDefault="00F3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69CA5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88,298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45E0D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8F927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B449B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88,298</w:t>
            </w:r>
          </w:p>
        </w:tc>
      </w:tr>
      <w:tr w:rsidR="00F3582F" w14:paraId="56EEFE3E" w14:textId="77777777">
        <w:trPr>
          <w:trHeight w:val="174"/>
        </w:trPr>
        <w:tc>
          <w:tcPr>
            <w:tcW w:w="574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C9FF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 співфінансування проекту з інших джерел (зазначити), тис. грн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122AA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рік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BA43B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рік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8486B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рік</w:t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F1AAB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F3582F" w14:paraId="6E21C5C0" w14:textId="77777777">
        <w:trPr>
          <w:trHeight w:val="2"/>
        </w:trPr>
        <w:tc>
          <w:tcPr>
            <w:tcW w:w="574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C6E8F" w14:textId="77777777" w:rsidR="00F3582F" w:rsidRDefault="00F3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A3C36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4E2C5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C82D9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8C29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82F" w14:paraId="6D3B683D" w14:textId="77777777"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C542F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регіону, в якому реалізовується проект</w:t>
            </w:r>
          </w:p>
        </w:tc>
        <w:tc>
          <w:tcPr>
            <w:tcW w:w="467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64540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Чернівецька область</w:t>
            </w:r>
          </w:p>
        </w:tc>
      </w:tr>
      <w:tr w:rsidR="00F3582F" w14:paraId="511887F7" w14:textId="77777777">
        <w:trPr>
          <w:trHeight w:val="290"/>
        </w:trPr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ACAA6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району, в якому реалізовується проект</w:t>
            </w:r>
          </w:p>
        </w:tc>
        <w:tc>
          <w:tcPr>
            <w:tcW w:w="467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F7BA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Дністровський район</w:t>
            </w:r>
          </w:p>
        </w:tc>
      </w:tr>
      <w:tr w:rsidR="00F3582F" w14:paraId="41F24E93" w14:textId="77777777">
        <w:trPr>
          <w:trHeight w:val="195"/>
        </w:trPr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F010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ім’я, по батькові керівника заявника</w:t>
            </w:r>
          </w:p>
        </w:tc>
        <w:tc>
          <w:tcPr>
            <w:tcW w:w="467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6DC7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Андрій Дмитрович</w:t>
            </w:r>
          </w:p>
        </w:tc>
      </w:tr>
      <w:tr w:rsidR="00F3582F" w14:paraId="18809ED1" w14:textId="77777777">
        <w:trPr>
          <w:trHeight w:val="176"/>
        </w:trPr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2ABB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заявника</w:t>
            </w:r>
          </w:p>
        </w:tc>
        <w:tc>
          <w:tcPr>
            <w:tcW w:w="467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0CCA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+38(067)-757-55-10,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dranchuk.ad@gmail.com</w:t>
            </w:r>
          </w:p>
        </w:tc>
      </w:tr>
      <w:tr w:rsidR="00F3582F" w14:paraId="6814CFCF" w14:textId="77777777">
        <w:trPr>
          <w:trHeight w:val="523"/>
        </w:trPr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96E1A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Посада, прізвище, ім’я, по батькові відповідальної за реалізацію проекту особи</w:t>
            </w:r>
          </w:p>
        </w:tc>
        <w:tc>
          <w:tcPr>
            <w:tcW w:w="467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19B70" w14:textId="77777777" w:rsidR="00F3582F" w:rsidRDefault="007830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Перший заступник міського голови - Білецький Данило Михайлович</w:t>
            </w:r>
          </w:p>
        </w:tc>
      </w:tr>
      <w:tr w:rsidR="00F3582F" w14:paraId="55676FFE" w14:textId="77777777">
        <w:trPr>
          <w:trHeight w:val="120"/>
        </w:trPr>
        <w:tc>
          <w:tcPr>
            <w:tcW w:w="57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513EA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відповідальної за реалізацію проекту особи</w:t>
            </w:r>
          </w:p>
        </w:tc>
        <w:tc>
          <w:tcPr>
            <w:tcW w:w="467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9B813" w14:textId="77777777" w:rsidR="00F3582F" w:rsidRDefault="007830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+38(066)-283-82-68, danilobileckij0@gmail.com</w:t>
            </w:r>
          </w:p>
        </w:tc>
      </w:tr>
    </w:tbl>
    <w:p w14:paraId="7C40465C" w14:textId="77777777" w:rsidR="00F3582F" w:rsidRDefault="00F35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D82544" w14:textId="77777777" w:rsidR="00F3582F" w:rsidRDefault="0078308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271A86A2" w14:textId="77777777" w:rsidR="00F3582F" w:rsidRDefault="00783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II. ЗМІСТ ПРОЕКТУ</w:t>
      </w:r>
    </w:p>
    <w:tbl>
      <w:tblPr>
        <w:tblStyle w:val="affc"/>
        <w:tblW w:w="96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"/>
        <w:gridCol w:w="8271"/>
        <w:gridCol w:w="992"/>
      </w:tblGrid>
      <w:tr w:rsidR="00F3582F" w14:paraId="48849ACA" w14:textId="77777777">
        <w:trPr>
          <w:trHeight w:val="7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3FABC207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3B3F63D4" w14:textId="77777777" w:rsidR="00F3582F" w:rsidRDefault="0078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Реєстраційна картка проекту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E59B54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стор.1</w:t>
            </w:r>
          </w:p>
        </w:tc>
      </w:tr>
      <w:tr w:rsidR="00F3582F" w14:paraId="3BF798EC" w14:textId="77777777">
        <w:trPr>
          <w:trHeight w:val="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23316D8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1D001FAF" w14:textId="77777777" w:rsidR="00F3582F" w:rsidRDefault="0078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 проекту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CC2D6E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стор.3</w:t>
            </w:r>
          </w:p>
        </w:tc>
      </w:tr>
      <w:tr w:rsidR="00F3582F" w14:paraId="2588D751" w14:textId="77777777">
        <w:trPr>
          <w:trHeight w:val="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4B265E9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6AFC5CC1" w14:textId="77777777" w:rsidR="00F3582F" w:rsidRDefault="0078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7F5265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стор.4</w:t>
            </w:r>
          </w:p>
        </w:tc>
      </w:tr>
      <w:tr w:rsidR="00F3582F" w14:paraId="71E7DE96" w14:textId="77777777">
        <w:trPr>
          <w:trHeight w:val="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DB90430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0DE25D0A" w14:textId="77777777" w:rsidR="00F3582F" w:rsidRDefault="0078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Анотація проекту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17F391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стор.4</w:t>
            </w:r>
          </w:p>
        </w:tc>
      </w:tr>
      <w:tr w:rsidR="00F3582F" w14:paraId="787989A1" w14:textId="77777777">
        <w:trPr>
          <w:trHeight w:val="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7530352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76B3511B" w14:textId="77777777" w:rsidR="00F3582F" w:rsidRDefault="0078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Детальний опис проекту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3B5D5C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стор.5</w:t>
            </w:r>
          </w:p>
        </w:tc>
      </w:tr>
      <w:tr w:rsidR="00F3582F" w14:paraId="4ABB42D4" w14:textId="77777777">
        <w:trPr>
          <w:trHeight w:val="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9A1E550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02E729C6" w14:textId="77777777" w:rsidR="00F3582F" w:rsidRDefault="0078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 проблеми, на вирішення якої спрямовано проект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3A4022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стор.5</w:t>
            </w:r>
          </w:p>
        </w:tc>
      </w:tr>
      <w:tr w:rsidR="00F3582F" w14:paraId="1EF8F1DF" w14:textId="77777777">
        <w:trPr>
          <w:trHeight w:val="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CFF8DC5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42EE6E5F" w14:textId="77777777" w:rsidR="00F3582F" w:rsidRDefault="0078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 і завдання проекту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0D0801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стор.6</w:t>
            </w:r>
          </w:p>
        </w:tc>
      </w:tr>
      <w:tr w:rsidR="00F3582F" w14:paraId="668353C0" w14:textId="77777777">
        <w:trPr>
          <w:trHeight w:val="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F63B3E1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3EF89D99" w14:textId="77777777" w:rsidR="00F3582F" w:rsidRDefault="0078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заходи проекту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C2CEC5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стор.6</w:t>
            </w:r>
          </w:p>
        </w:tc>
      </w:tr>
      <w:tr w:rsidR="00F3582F" w14:paraId="3964790C" w14:textId="77777777">
        <w:trPr>
          <w:trHeight w:val="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730D413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0744C941" w14:textId="77777777" w:rsidR="00F3582F" w:rsidRDefault="0078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План-графік реалізації заходів проекту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4E968C0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стор.7</w:t>
            </w:r>
          </w:p>
        </w:tc>
      </w:tr>
      <w:tr w:rsidR="00F3582F" w14:paraId="4FBEA6F3" w14:textId="77777777">
        <w:trPr>
          <w:trHeight w:val="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E849F65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20E3BDF6" w14:textId="77777777" w:rsidR="00F3582F" w:rsidRDefault="0078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Кількісні та якісні показники результативності проекту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FB38CB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стор.7</w:t>
            </w:r>
          </w:p>
        </w:tc>
      </w:tr>
      <w:tr w:rsidR="00F3582F" w14:paraId="36A37949" w14:textId="77777777">
        <w:trPr>
          <w:trHeight w:val="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017A4FF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0621B9FC" w14:textId="77777777" w:rsidR="00F3582F" w:rsidRDefault="0078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Інновації проекту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E8A8E0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стор.8</w:t>
            </w:r>
          </w:p>
        </w:tc>
      </w:tr>
      <w:tr w:rsidR="00F3582F" w14:paraId="4264A47D" w14:textId="77777777">
        <w:trPr>
          <w:trHeight w:val="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3870AC2D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558A1F33" w14:textId="77777777" w:rsidR="00F3582F" w:rsidRDefault="0078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проекту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EDBD41A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стор.8</w:t>
            </w:r>
          </w:p>
        </w:tc>
      </w:tr>
      <w:tr w:rsidR="00F3582F" w14:paraId="209057B7" w14:textId="77777777">
        <w:trPr>
          <w:trHeight w:val="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A072E59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7089C520" w14:textId="77777777" w:rsidR="00F3582F" w:rsidRDefault="0078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бюджет проекту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5C50B0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стор.8</w:t>
            </w:r>
          </w:p>
        </w:tc>
      </w:tr>
      <w:tr w:rsidR="00F3582F" w14:paraId="5C586612" w14:textId="77777777">
        <w:trPr>
          <w:trHeight w:val="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5C81D0FC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7B3B34A7" w14:textId="77777777" w:rsidR="00F3582F" w:rsidRDefault="0078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Розклад бюджету за статтями видатків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5FD418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стор.9</w:t>
            </w:r>
          </w:p>
        </w:tc>
      </w:tr>
      <w:tr w:rsidR="00F3582F" w14:paraId="6B678D43" w14:textId="77777777">
        <w:trPr>
          <w:trHeight w:val="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650BA13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21FF3635" w14:textId="77777777" w:rsidR="00F3582F" w:rsidRDefault="0078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Очікувані джерела фінансування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CF57C9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стор.9</w:t>
            </w:r>
          </w:p>
        </w:tc>
      </w:tr>
      <w:tr w:rsidR="00F3582F" w14:paraId="1B27347D" w14:textId="77777777">
        <w:trPr>
          <w:trHeight w:val="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EA33BF9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5740AA61" w14:textId="77777777" w:rsidR="00F3582F" w:rsidRDefault="0078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Розрахунок вартості проекту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D52CDE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стор.9</w:t>
            </w:r>
          </w:p>
        </w:tc>
      </w:tr>
      <w:tr w:rsidR="00F3582F" w14:paraId="490D26CA" w14:textId="77777777">
        <w:trPr>
          <w:trHeight w:val="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A157235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8271" w:type="dxa"/>
            <w:tcBorders>
              <w:top w:val="nil"/>
              <w:left w:val="nil"/>
              <w:bottom w:val="nil"/>
              <w:right w:val="nil"/>
            </w:tcBorders>
          </w:tcPr>
          <w:p w14:paraId="33CB2A14" w14:textId="77777777" w:rsidR="00F3582F" w:rsidRDefault="0078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1A1E68" w14:textId="77777777" w:rsidR="00F3582F" w:rsidRDefault="00F3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95F744" w14:textId="77777777" w:rsidR="00F3582F" w:rsidRDefault="00F358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3BA40C" w14:textId="77777777" w:rsidR="00F3582F" w:rsidRDefault="00F35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1150FA" w14:textId="77777777" w:rsidR="00F3582F" w:rsidRDefault="00F35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5C60E2" w14:textId="77777777" w:rsidR="00F3582F" w:rsidRDefault="00F35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FDA4AE" w14:textId="77777777" w:rsidR="00F3582F" w:rsidRDefault="00F35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A3743C" w14:textId="77777777" w:rsidR="00F3582F" w:rsidRDefault="00F35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AF1782" w14:textId="77777777" w:rsidR="00F3582F" w:rsidRDefault="00F35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25BDC7" w14:textId="77777777" w:rsidR="00F3582F" w:rsidRDefault="00F35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EE5656" w14:textId="77777777" w:rsidR="00F3582F" w:rsidRDefault="00F35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72C8F4" w14:textId="77777777" w:rsidR="00F3582F" w:rsidRDefault="007830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ІІI. ПРОЕКТ</w:t>
      </w:r>
    </w:p>
    <w:p w14:paraId="3C941CD2" w14:textId="77777777" w:rsidR="00F3582F" w:rsidRDefault="00783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Анотація проекту</w:t>
      </w:r>
    </w:p>
    <w:p w14:paraId="19227883" w14:textId="77777777" w:rsidR="00F3582F" w:rsidRDefault="00783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надання адміністративних послуг Хотинської міської ради (далі – ЦНАП) створений у грудні 2019 року. Відповідно до розпорядження Кабінету Міністрів України від 06.05.2020р. №595-р «Про затвердження перспективного плану формування територій громад Черн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івецької області», відповідно до якого Хотинська МТГ об’єднує 11 населених пунктів (18456 мешканців), інфраструктурну доступність для мешканців сусідніх громад та з  метою покращення доступності адміністративних послуг ЦНАП обслуговує населення Хотинської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сусідніх територіальних громад. Станом на 01.06.2021р. ЦНАП Хотинської міської ради надає 107 адміністративних послуг. Так, адміністративні послуги з питань прийому та видачі документів Державної архітектурно-будівельно інспекції в Чернівецькій області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отримують мешканці сусідніх громад: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Клішковецька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Недобоївська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Рукшинська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Лівинецька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Кельменецька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Новоселицька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ТГ, Новодністровська ТГ, Сокирянську ТГ,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Мамализьку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ТГ та інші із сукупною кількістю населення понад 120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тис.осіб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75F35C" w14:textId="77777777" w:rsidR="00F3582F" w:rsidRDefault="007830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Актуальність проекту полягає в необхідності розвитку та реконструкції ЦНАП Хотинської міської територіальної громади оскільки він є ключовим на території східної Буковини, а реалізація проекту забезпечить його стале функціонування, створити сприятливі умов</w:t>
      </w:r>
      <w:r>
        <w:rPr>
          <w:rFonts w:ascii="Times New Roman" w:eastAsia="Times New Roman" w:hAnsi="Times New Roman" w:cs="Times New Roman"/>
          <w:sz w:val="28"/>
          <w:szCs w:val="28"/>
        </w:rPr>
        <w:t>и для перебування громадян в зимній період року, та відповідатиме енергозберігаючим нормативам.</w:t>
      </w:r>
    </w:p>
    <w:p w14:paraId="7A05EBFB" w14:textId="77777777" w:rsidR="00F3582F" w:rsidRDefault="007830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Опосередкованою аудиторією проекту є жителі Хотинської громади -18456 осіб, жителі сусідніх громад, що отримують послуги в ЦНАП Хотинської міської територіально</w:t>
      </w:r>
      <w:r>
        <w:rPr>
          <w:rFonts w:ascii="Times New Roman" w:eastAsia="Times New Roman" w:hAnsi="Times New Roman" w:cs="Times New Roman"/>
          <w:sz w:val="28"/>
          <w:szCs w:val="28"/>
        </w:rPr>
        <w:t>ї громади - орієнтовано 120 тис. осіб.</w:t>
      </w:r>
    </w:p>
    <w:p w14:paraId="503AFB09" w14:textId="77777777" w:rsidR="00F3582F" w:rsidRDefault="007830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Проект відповідає державній програмі енергозбереження та енергоефективності.</w:t>
      </w:r>
    </w:p>
    <w:p w14:paraId="01BD760B" w14:textId="77777777" w:rsidR="00F3582F" w:rsidRDefault="00F35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663B71" w14:textId="77777777" w:rsidR="00F3582F" w:rsidRDefault="00F35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0347C7" w14:textId="77777777" w:rsidR="00F3582F" w:rsidRDefault="00F35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E57315" w14:textId="77777777" w:rsidR="00F3582F" w:rsidRDefault="00F35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7CEC03" w14:textId="77777777" w:rsidR="00F3582F" w:rsidRDefault="007830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Детальний опис проекту.</w:t>
      </w:r>
    </w:p>
    <w:p w14:paraId="5176DA79" w14:textId="77777777" w:rsidR="00F3582F" w:rsidRDefault="00783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Опис проблеми, на розв’язання якої спрямовано проект.</w:t>
      </w:r>
    </w:p>
    <w:p w14:paraId="57A83450" w14:textId="77777777" w:rsidR="00F3582F" w:rsidRDefault="007830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Центр надання адміністративних послуг Хотинської міської ради (далі – ЦНАП) створений у грудні 2019 року. Враховуючи розпорядження Кабінету Міністрів України від 06.05.2020р. №595-р «Про затвердже</w:t>
      </w:r>
      <w:r>
        <w:rPr>
          <w:rFonts w:ascii="Times New Roman" w:eastAsia="Times New Roman" w:hAnsi="Times New Roman" w:cs="Times New Roman"/>
          <w:sz w:val="28"/>
          <w:szCs w:val="28"/>
        </w:rPr>
        <w:t>ння перспективного плану формування територій громад Чернівецької області», відповідно до якого Хотинська МТГ об’єднує 11 населених пунктів (18456 мешканців), інфраструктурну доступність для мешканців сусідніх громад та з  метою покращення доступності адмі</w:t>
      </w:r>
      <w:r>
        <w:rPr>
          <w:rFonts w:ascii="Times New Roman" w:eastAsia="Times New Roman" w:hAnsi="Times New Roman" w:cs="Times New Roman"/>
          <w:sz w:val="28"/>
          <w:szCs w:val="28"/>
        </w:rPr>
        <w:t>ністративних послуг ЦНАП обслуговує населення Хотинської та сусідніх територіальних громад. Станом на 01.05.2021р. ЦНАП Хотинської міської ради надає 107 адміністративних послуг. Зокрема адміністративні послуги з питань прийому та видачі документів Державн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ої архітектурно-будівельно інспекції отримають мешканці сусідніх громад: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Клішковецька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Недобоївська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Рукшинська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Лівинецька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Кельменецька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Новоселицька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ТГ, Новодністровська ТГ, Сокирянську ТГ,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Мамализьку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ТГ та інші із сукупною кількістю насе</w:t>
      </w:r>
      <w:r>
        <w:rPr>
          <w:rFonts w:ascii="Times New Roman" w:eastAsia="Times New Roman" w:hAnsi="Times New Roman" w:cs="Times New Roman"/>
          <w:sz w:val="28"/>
          <w:szCs w:val="28"/>
        </w:rPr>
        <w:t>лення понад 120тис.осіб.</w:t>
      </w:r>
    </w:p>
    <w:p w14:paraId="6AEBD187" w14:textId="77777777" w:rsidR="00F3582F" w:rsidRDefault="007830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Приміщення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ЦНАПу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розміщене в центральній частині міста адміністративного центру Хотинської громади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м.Хотин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відповідає вимогам Примірного регламенту центру надання адміністративних послуг, затвердженого постановою Кабінету Міні</w:t>
      </w:r>
      <w:r>
        <w:rPr>
          <w:rFonts w:ascii="Times New Roman" w:eastAsia="Times New Roman" w:hAnsi="Times New Roman" w:cs="Times New Roman"/>
          <w:sz w:val="28"/>
          <w:szCs w:val="28"/>
        </w:rPr>
        <w:t>стрів України від 01.08.2013р. №588.</w:t>
      </w:r>
    </w:p>
    <w:p w14:paraId="73D21A88" w14:textId="77777777" w:rsidR="00F3582F" w:rsidRDefault="0078308C">
      <w:pPr>
        <w:spacing w:before="240"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ЦНАП облаштовано відповідно до нормативів та  забезпечено базову інфраструктуру:</w:t>
      </w:r>
    </w:p>
    <w:p w14:paraId="5E50C239" w14:textId="77777777" w:rsidR="00F3582F" w:rsidRDefault="0078308C">
      <w:pPr>
        <w:spacing w:after="0"/>
        <w:ind w:left="1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загальна площа приміщення ЦНАП – 219,0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37F76C" w14:textId="77777777" w:rsidR="00F3582F" w:rsidRDefault="0078308C">
      <w:pPr>
        <w:spacing w:after="0"/>
        <w:ind w:left="1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сектори інформування та очікування – 33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1BC799" w14:textId="77777777" w:rsidR="00F3582F" w:rsidRDefault="0078308C">
      <w:pPr>
        <w:spacing w:after="0"/>
        <w:ind w:left="1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сектор обслуговування – 121,0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C4F87E" w14:textId="77777777" w:rsidR="00F3582F" w:rsidRDefault="0078308C">
      <w:pPr>
        <w:spacing w:after="0"/>
        <w:ind w:left="1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кількість облаштованих місць очікування для суб’єктів звернення – 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тжтж</w:t>
      </w:r>
      <w:proofErr w:type="spellEnd"/>
    </w:p>
    <w:p w14:paraId="087DF7A8" w14:textId="77777777" w:rsidR="00F3582F" w:rsidRDefault="0078308C">
      <w:pPr>
        <w:spacing w:after="0"/>
        <w:ind w:left="1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кількість адміністраторів – 4 осіб;</w:t>
      </w:r>
    </w:p>
    <w:p w14:paraId="6392A180" w14:textId="77777777" w:rsidR="00F3582F" w:rsidRDefault="0078308C">
      <w:pPr>
        <w:spacing w:after="0"/>
        <w:ind w:left="1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кількість реєстраторів – 3 особи;</w:t>
      </w:r>
    </w:p>
    <w:p w14:paraId="0B4A918E" w14:textId="77777777" w:rsidR="00F3582F" w:rsidRDefault="0078308C">
      <w:pPr>
        <w:spacing w:after="0"/>
        <w:ind w:left="1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інші працівники ЦНАП – 1 особа;</w:t>
      </w:r>
    </w:p>
    <w:p w14:paraId="46BEB732" w14:textId="77777777" w:rsidR="00F3582F" w:rsidRDefault="0078308C">
      <w:pPr>
        <w:spacing w:after="0"/>
        <w:ind w:left="1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кількість віддалених робочих місць  – 1 шт.;</w:t>
      </w:r>
    </w:p>
    <w:p w14:paraId="1D86E55D" w14:textId="77777777" w:rsidR="00F3582F" w:rsidRDefault="0078308C">
      <w:pPr>
        <w:spacing w:after="0"/>
        <w:ind w:left="1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кількість облаштованих робочих місць – 11шт.;</w:t>
      </w:r>
    </w:p>
    <w:p w14:paraId="5B19DF59" w14:textId="77777777" w:rsidR="00F3582F" w:rsidRDefault="0078308C">
      <w:pPr>
        <w:spacing w:after="0"/>
        <w:ind w:left="1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кількість робочих місць для самообслуговування – 1 шт.</w:t>
      </w:r>
    </w:p>
    <w:p w14:paraId="0A9A4CE0" w14:textId="77777777" w:rsidR="00F3582F" w:rsidRDefault="0078308C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надання електронних послуг (Центр Дія). Наразі в будівлі, де розташований ЦНАП:</w:t>
      </w:r>
    </w:p>
    <w:p w14:paraId="5C83E44C" w14:textId="77777777" w:rsidR="00F3582F" w:rsidRDefault="0078308C">
      <w:pPr>
        <w:spacing w:after="0"/>
        <w:ind w:left="1520" w:hanging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</w:rPr>
        <w:t>аходяться структурні підрозділи міської ради, які надають консультативну допомогу із земельних, архітектурних та інших супутніх питань;</w:t>
      </w:r>
    </w:p>
    <w:p w14:paraId="4ADA16EB" w14:textId="77777777" w:rsidR="00F3582F" w:rsidRDefault="0078308C">
      <w:pPr>
        <w:spacing w:after="0"/>
        <w:ind w:left="1520" w:hanging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впроваджено електронну чергу ЦНАП;</w:t>
      </w:r>
    </w:p>
    <w:p w14:paraId="2BAE1103" w14:textId="77777777" w:rsidR="00F3582F" w:rsidRDefault="0078308C">
      <w:pPr>
        <w:spacing w:after="0"/>
        <w:ind w:left="1520" w:hanging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наявний електронний термінал для сплати адміністративного збору;</w:t>
      </w:r>
    </w:p>
    <w:p w14:paraId="4FCF592F" w14:textId="77777777" w:rsidR="00F3582F" w:rsidRDefault="0078308C">
      <w:pPr>
        <w:spacing w:after="0"/>
        <w:ind w:left="1520" w:hanging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створено окреме місце (кабінет), де надають консультації з підтримки підприємництва;</w:t>
      </w:r>
    </w:p>
    <w:p w14:paraId="609D49A6" w14:textId="77777777" w:rsidR="00F3582F" w:rsidRDefault="0078308C">
      <w:pPr>
        <w:spacing w:after="0"/>
        <w:ind w:left="1520" w:hanging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облаштовано місця для працівників ЦНАП задля укладання договорів щодо надання комунальних по</w:t>
      </w:r>
      <w:r>
        <w:rPr>
          <w:rFonts w:ascii="Times New Roman" w:eastAsia="Times New Roman" w:hAnsi="Times New Roman" w:cs="Times New Roman"/>
          <w:sz w:val="28"/>
          <w:szCs w:val="28"/>
        </w:rPr>
        <w:t>слуг та їх сплати.</w:t>
      </w:r>
    </w:p>
    <w:p w14:paraId="0D1F3C86" w14:textId="77777777" w:rsidR="00F3582F" w:rsidRDefault="0078308C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зв’язку із територіальною віддаленістю населених пунктів громади до адміністративного центру, неналежною дорожньою інфраструктурою, відсутністю забезпечення регулярного транспортного сполучення та з метою наближення адміністративних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ослуг до населення, доцільним є створення 9 віддалених робочих місць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с.Анадоли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с.Атаки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с.Білівці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с.Ворничани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с.Каплівка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с.Круглик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с.Крутеньки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с.Пашківці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с.Ярівка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(7482 мешканці).  </w:t>
      </w:r>
    </w:p>
    <w:p w14:paraId="0261A4A5" w14:textId="77777777" w:rsidR="00F3582F" w:rsidRDefault="0078308C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Зважаючи на велику мережу бюджетних установ громади (зокрема, мед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ичної, освітньої, соціальної сфери), їх фінансування, поточне утримання, наразі не вбачається можливим додаткові видатки на закупівлю необхідного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обладнання для забезпечення створення та функціонування віддалених робочих місць у 9 населених пунктах громади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рахунок місцевого бюджету. </w:t>
      </w:r>
    </w:p>
    <w:p w14:paraId="76F5F7C0" w14:textId="77777777" w:rsidR="00F3582F" w:rsidRDefault="0078308C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Враховуючи наявність на території Хотинської міської територіальної громади двох автошкіл, територіальну доступність кордонів із сусідніми громадами та зростаючу кількість зареєстрованих автотранспортних засобів у громаді, н</w:t>
      </w:r>
      <w:r>
        <w:rPr>
          <w:rFonts w:ascii="Times New Roman" w:eastAsia="Times New Roman" w:hAnsi="Times New Roman" w:cs="Times New Roman"/>
          <w:sz w:val="28"/>
          <w:szCs w:val="28"/>
        </w:rPr>
        <w:t>еобхідним стає спрощення системи доступності населення до наступних адміністративних послуг:</w:t>
      </w:r>
    </w:p>
    <w:p w14:paraId="552E683A" w14:textId="77777777" w:rsidR="00F3582F" w:rsidRDefault="0078308C">
      <w:pPr>
        <w:spacing w:after="0"/>
        <w:ind w:left="1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обмін старого посвідчення водія на нове;</w:t>
      </w:r>
    </w:p>
    <w:p w14:paraId="706163FE" w14:textId="77777777" w:rsidR="00F3582F" w:rsidRDefault="0078308C">
      <w:pPr>
        <w:spacing w:after="0"/>
        <w:ind w:left="1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отримання нового посвідчення водія у зв’язку з втратою чи викраденням;</w:t>
      </w:r>
    </w:p>
    <w:p w14:paraId="6345E8D4" w14:textId="77777777" w:rsidR="00F3582F" w:rsidRDefault="0078308C">
      <w:pPr>
        <w:spacing w:after="0"/>
        <w:ind w:left="1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обмін посвідчення водія </w:t>
      </w:r>
      <w:r>
        <w:rPr>
          <w:rFonts w:ascii="Times New Roman" w:eastAsia="Times New Roman" w:hAnsi="Times New Roman" w:cs="Times New Roman"/>
          <w:sz w:val="28"/>
          <w:szCs w:val="28"/>
        </w:rPr>
        <w:t>у зв’язку зі зміною особистих даних власника;</w:t>
      </w:r>
    </w:p>
    <w:p w14:paraId="0C01FA0A" w14:textId="77777777" w:rsidR="00F3582F" w:rsidRDefault="0078308C">
      <w:pPr>
        <w:spacing w:after="0"/>
        <w:ind w:left="1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державна реєстрація нового транспортного засобу (без огляду експерта);</w:t>
      </w:r>
    </w:p>
    <w:p w14:paraId="42E21020" w14:textId="77777777" w:rsidR="00F3582F" w:rsidRDefault="0078308C">
      <w:pPr>
        <w:spacing w:after="0"/>
        <w:ind w:left="14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перереєстрація транспортного засобу у зв’язку зі зміною анкетних даних власника (без огляду експерта).</w:t>
      </w:r>
    </w:p>
    <w:p w14:paraId="759161D4" w14:textId="77777777" w:rsidR="00F3582F" w:rsidRDefault="0078308C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Варто зазначити, 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ЦНАП Хотинської міської ради надає адміністративні послуги мешканцям сусідніх громад, де наразі відсутні можливості надання таких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56309C9" w14:textId="77777777" w:rsidR="00F3582F" w:rsidRDefault="00F35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7B42F5" w14:textId="77777777" w:rsidR="00F3582F" w:rsidRDefault="00F35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C469CD" w14:textId="77777777" w:rsidR="00F3582F" w:rsidRDefault="00783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 Мета і завдання проекту</w:t>
      </w:r>
    </w:p>
    <w:p w14:paraId="6C1BAB2C" w14:textId="77777777" w:rsidR="00F3582F" w:rsidRDefault="00783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Метою проекту є покращення якості надання адміністративних послуг в громаді, шляхом створення віддалених робочих місць у населених пунктах громади та  впровадження адміністративних послуг з видачі посвідчень водія та реєстрації транспортних засобів на базі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Центру надання адміністративних послуг Хотинської міської ради»</w:t>
      </w:r>
    </w:p>
    <w:p w14:paraId="7C829EAF" w14:textId="77777777" w:rsidR="00F3582F" w:rsidRDefault="00783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Для досягнення даної мети та розв'язання поставленої проблеми ставимо перед собою такі завдання:</w:t>
      </w:r>
    </w:p>
    <w:p w14:paraId="3A0E8866" w14:textId="77777777" w:rsidR="00F3582F" w:rsidRDefault="007830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створити робочу з реалізації даного проекту;</w:t>
      </w:r>
    </w:p>
    <w:p w14:paraId="5A938F63" w14:textId="77777777" w:rsidR="00F3582F" w:rsidRDefault="007830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тендер для закупівлі необхідного обладн</w:t>
      </w:r>
      <w:r>
        <w:rPr>
          <w:rFonts w:ascii="Times New Roman" w:eastAsia="Times New Roman" w:hAnsi="Times New Roman" w:cs="Times New Roman"/>
          <w:sz w:val="28"/>
          <w:szCs w:val="28"/>
        </w:rPr>
        <w:t>ання;</w:t>
      </w:r>
    </w:p>
    <w:p w14:paraId="69F0BD1A" w14:textId="77777777" w:rsidR="00F3582F" w:rsidRDefault="007830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закупити необхідне обладнання;</w:t>
      </w:r>
    </w:p>
    <w:p w14:paraId="53937D1D" w14:textId="77777777" w:rsidR="00F3582F" w:rsidRDefault="0078308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встановити комп'ютерне обладнання, зокрема програмно-апаратний комплекс для оформлення та видачі посвідчень водія і реєстрації транспортний засобів.</w:t>
      </w:r>
    </w:p>
    <w:p w14:paraId="5C33A63D" w14:textId="77777777" w:rsidR="00F3582F" w:rsidRDefault="00783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Виконання даних завдань дасть можливість отримати необхідний результат. </w:t>
      </w:r>
    </w:p>
    <w:p w14:paraId="447D50CB" w14:textId="77777777" w:rsidR="00F3582F" w:rsidRDefault="00F3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916566" w14:textId="77777777" w:rsidR="00F3582F" w:rsidRDefault="00783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 Основні заходи проекту</w:t>
      </w:r>
    </w:p>
    <w:p w14:paraId="62EBB1E0" w14:textId="77777777" w:rsidR="00F3582F" w:rsidRDefault="007830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 ході виконання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передбачається реалізувати такі заходи:</w:t>
      </w:r>
    </w:p>
    <w:p w14:paraId="0713C495" w14:textId="77777777" w:rsidR="00F3582F" w:rsidRDefault="0078308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Проведення тендерних торгів, укладання договорів.</w:t>
      </w:r>
    </w:p>
    <w:p w14:paraId="1C693251" w14:textId="77777777" w:rsidR="00F3582F" w:rsidRDefault="0078308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Встановлення комп'ютерного обладнання,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зокрема програмно-апаратний комплекс для оформлення та видачі посвідчень водія і реєстрації транспортний засобів.</w:t>
      </w:r>
    </w:p>
    <w:p w14:paraId="0ABC0B05" w14:textId="77777777" w:rsidR="00F3582F" w:rsidRDefault="0078308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Моніторинг якості проведення робіт.</w:t>
      </w:r>
    </w:p>
    <w:p w14:paraId="6AFF7E21" w14:textId="77777777" w:rsidR="00F3582F" w:rsidRDefault="0078308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Подання звітності по реалізації проекту.</w:t>
      </w:r>
    </w:p>
    <w:p w14:paraId="6696A47B" w14:textId="77777777" w:rsidR="00F3582F" w:rsidRDefault="0078308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Висвітлення в засобах масової інформації результатів реалізації п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роекту.</w:t>
      </w:r>
    </w:p>
    <w:p w14:paraId="3C31037C" w14:textId="77777777" w:rsidR="00F3582F" w:rsidRDefault="00F35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F5F8F1A" w14:textId="77777777" w:rsidR="00F3582F" w:rsidRDefault="00F35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001B73B" w14:textId="77777777" w:rsidR="00F3582F" w:rsidRDefault="00783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2.4. План-графік реалізації заходів проекту</w:t>
      </w:r>
    </w:p>
    <w:tbl>
      <w:tblPr>
        <w:tblStyle w:val="affd"/>
        <w:tblW w:w="9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63"/>
        <w:gridCol w:w="2977"/>
      </w:tblGrid>
      <w:tr w:rsidR="00F3582F" w14:paraId="1B8CA186" w14:textId="77777777">
        <w:trPr>
          <w:trHeight w:val="293"/>
        </w:trPr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F23A7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2977" w:type="dxa"/>
          </w:tcPr>
          <w:p w14:paraId="4767B9F9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Термін реалізації</w:t>
            </w:r>
          </w:p>
          <w:p w14:paraId="71566C7B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 рік)</w:t>
            </w:r>
          </w:p>
        </w:tc>
      </w:tr>
      <w:tr w:rsidR="00F3582F" w14:paraId="16E25E0C" w14:textId="77777777">
        <w:trPr>
          <w:trHeight w:val="495"/>
        </w:trPr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D4873" w14:textId="77777777" w:rsidR="00F3582F" w:rsidRDefault="007830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 тендерних торгів, укладання договорів.</w:t>
            </w:r>
          </w:p>
        </w:tc>
        <w:tc>
          <w:tcPr>
            <w:tcW w:w="2977" w:type="dxa"/>
          </w:tcPr>
          <w:p w14:paraId="67715B83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Травень-червень 2022</w:t>
            </w:r>
          </w:p>
          <w:p w14:paraId="02D094A0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(1-2 міс.)</w:t>
            </w:r>
          </w:p>
        </w:tc>
      </w:tr>
      <w:tr w:rsidR="00F3582F" w14:paraId="579D6C8D" w14:textId="77777777">
        <w:trPr>
          <w:trHeight w:val="495"/>
        </w:trPr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EB461" w14:textId="77777777" w:rsidR="00F3582F" w:rsidRDefault="007830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Встановлення комп'ютерного обладнання (програмно-апаратний комплекс для оформлення та видачі посвідчень водія і реєстрації транспортний засобів)</w:t>
            </w:r>
          </w:p>
        </w:tc>
        <w:tc>
          <w:tcPr>
            <w:tcW w:w="2977" w:type="dxa"/>
          </w:tcPr>
          <w:p w14:paraId="519A9254" w14:textId="77777777" w:rsidR="00F3582F" w:rsidRDefault="007830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Червень-вересень 2022</w:t>
            </w:r>
          </w:p>
          <w:p w14:paraId="31EC76FC" w14:textId="77777777" w:rsidR="00F3582F" w:rsidRDefault="007830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(1-4 міс)</w:t>
            </w:r>
          </w:p>
        </w:tc>
      </w:tr>
      <w:tr w:rsidR="00F3582F" w14:paraId="4A044C76" w14:textId="77777777">
        <w:trPr>
          <w:trHeight w:val="495"/>
        </w:trPr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A303E" w14:textId="77777777" w:rsidR="00F3582F" w:rsidRDefault="007830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Моніторинг якості проведення робіт.</w:t>
            </w:r>
          </w:p>
        </w:tc>
        <w:tc>
          <w:tcPr>
            <w:tcW w:w="2977" w:type="dxa"/>
          </w:tcPr>
          <w:p w14:paraId="17F99E41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Червень-грудень 2022</w:t>
            </w:r>
          </w:p>
          <w:p w14:paraId="5E38F462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 міс)</w:t>
            </w:r>
          </w:p>
        </w:tc>
      </w:tr>
      <w:tr w:rsidR="00F3582F" w14:paraId="72C229DD" w14:textId="77777777">
        <w:trPr>
          <w:trHeight w:val="495"/>
        </w:trPr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6242F" w14:textId="77777777" w:rsidR="00F3582F" w:rsidRDefault="007830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Подання звітності по реалізації проекту.</w:t>
            </w:r>
          </w:p>
        </w:tc>
        <w:tc>
          <w:tcPr>
            <w:tcW w:w="2977" w:type="dxa"/>
          </w:tcPr>
          <w:p w14:paraId="7AD6E654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Жовтень-грудень 2022</w:t>
            </w:r>
          </w:p>
          <w:p w14:paraId="214F1AC1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(1-2 міс)</w:t>
            </w:r>
          </w:p>
        </w:tc>
      </w:tr>
      <w:tr w:rsidR="00F3582F" w14:paraId="13986FF8" w14:textId="77777777">
        <w:trPr>
          <w:trHeight w:val="495"/>
        </w:trPr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CF5A1" w14:textId="77777777" w:rsidR="00F3582F" w:rsidRDefault="007830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Висвітлення в засобах масової інформації результатів реалізації проекту.</w:t>
            </w:r>
          </w:p>
        </w:tc>
        <w:tc>
          <w:tcPr>
            <w:tcW w:w="2977" w:type="dxa"/>
          </w:tcPr>
          <w:p w14:paraId="5AF7DC28" w14:textId="77777777" w:rsidR="00F3582F" w:rsidRDefault="007830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Жовтень-грудень 2022</w:t>
            </w:r>
          </w:p>
          <w:p w14:paraId="71C5CCFC" w14:textId="77777777" w:rsidR="00F3582F" w:rsidRDefault="007830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(1-2 міс)</w:t>
            </w:r>
          </w:p>
          <w:p w14:paraId="4C55D350" w14:textId="77777777" w:rsidR="00F3582F" w:rsidRDefault="00F35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0C30A5" w14:textId="77777777" w:rsidR="00F3582F" w:rsidRDefault="00F3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B30295" w14:textId="77777777" w:rsidR="00F3582F" w:rsidRDefault="00783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2.5. Кількісні та якісні показники результативності проекту</w:t>
      </w:r>
    </w:p>
    <w:p w14:paraId="0E76E367" w14:textId="77777777" w:rsidR="00F3582F" w:rsidRDefault="00783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Очікувані кількісні результати:</w:t>
      </w:r>
    </w:p>
    <w:p w14:paraId="01FE8EA9" w14:textId="77777777" w:rsidR="00F3582F" w:rsidRDefault="007830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створено віддалених робочих місць 9 ;</w:t>
      </w:r>
    </w:p>
    <w:p w14:paraId="1DB38B44" w14:textId="77777777" w:rsidR="00F3582F" w:rsidRDefault="007830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понад 5000 мешканців громади отримають доступ до отримання якісних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своєму населеному пункті;</w:t>
      </w:r>
    </w:p>
    <w:p w14:paraId="0BF26715" w14:textId="77777777" w:rsidR="00F3582F" w:rsidRDefault="0078308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понад 120тис. насел</w:t>
      </w:r>
      <w:r>
        <w:rPr>
          <w:rFonts w:ascii="Times New Roman" w:eastAsia="Times New Roman" w:hAnsi="Times New Roman" w:cs="Times New Roman"/>
          <w:sz w:val="28"/>
          <w:szCs w:val="28"/>
        </w:rPr>
        <w:t>ення Хотинської МТГ та сусідніх ТГ Чернівецької та  Хмельницької отримають доступ до адміністративних послуг з видачі/заміни водійського посвідчення реєстрації/перереєстрації транспортних засобів</w:t>
      </w:r>
    </w:p>
    <w:p w14:paraId="6D693DA9" w14:textId="77777777" w:rsidR="00F3582F" w:rsidRDefault="00F3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796F5C99" w14:textId="77777777" w:rsidR="00F3582F" w:rsidRDefault="00783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Очікувані якісні результати:</w:t>
      </w:r>
    </w:p>
    <w:p w14:paraId="4040627A" w14:textId="77777777" w:rsidR="00F3582F" w:rsidRDefault="007830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покращення комфорту перебування громадян у ЦНАП</w:t>
      </w:r>
    </w:p>
    <w:p w14:paraId="010EB6C5" w14:textId="77777777" w:rsidR="00F3582F" w:rsidRDefault="007830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зменшення витрат громадян на логістику до центральної садиби з метою отримання адміністративних послуг;</w:t>
      </w:r>
    </w:p>
    <w:p w14:paraId="2C864BE1" w14:textId="77777777" w:rsidR="00F3582F" w:rsidRDefault="007830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покращення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теплоізолюючих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якостей будівлі</w:t>
      </w:r>
    </w:p>
    <w:p w14:paraId="3719C5F1" w14:textId="77777777" w:rsidR="00F3582F" w:rsidRDefault="007830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економія енергоносіїв для опалення бюджетних будівель</w:t>
      </w:r>
    </w:p>
    <w:p w14:paraId="72CB6D4D" w14:textId="77777777" w:rsidR="00F3582F" w:rsidRDefault="007830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зручніст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ь отримання водійського посвідчення в центрі територіальної громади</w:t>
      </w:r>
    </w:p>
    <w:p w14:paraId="012D14B8" w14:textId="77777777" w:rsidR="00F3582F" w:rsidRDefault="007830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зручність та швидкість перереєстрації транспортних засобів (без огляду експерта) без необхідності значний шлях до найближчого МВС сервісу</w:t>
      </w:r>
    </w:p>
    <w:p w14:paraId="39808021" w14:textId="77777777" w:rsidR="00F3582F" w:rsidRDefault="007830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зменшення ризиків корупції серед працівників МВС</w:t>
      </w:r>
    </w:p>
    <w:p w14:paraId="11C04F0E" w14:textId="77777777" w:rsidR="00F3582F" w:rsidRDefault="0078308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меншення навантаження на суміжні МВС</w:t>
      </w:r>
    </w:p>
    <w:p w14:paraId="19A57B98" w14:textId="77777777" w:rsidR="00F3582F" w:rsidRDefault="00F3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7C832FD6" w14:textId="77777777" w:rsidR="00F3582F" w:rsidRDefault="00F3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4FCF18BB" w14:textId="77777777" w:rsidR="00F3582F" w:rsidRDefault="00F3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56F49EAA" w14:textId="77777777" w:rsidR="00F3582F" w:rsidRDefault="00783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2.6. Інновації проекту</w:t>
      </w:r>
    </w:p>
    <w:p w14:paraId="0177CCB5" w14:textId="77777777" w:rsidR="00F3582F" w:rsidRDefault="00783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6BF4F346" w14:textId="77777777" w:rsidR="00F3582F" w:rsidRDefault="00783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Запровадження нових послуг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ЦНАПі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Хотинської міської ради дозволить запровадити електронний документообіг. </w:t>
      </w:r>
      <w:r>
        <w:rPr>
          <w:rFonts w:ascii="Times New Roman" w:eastAsia="Times New Roman" w:hAnsi="Times New Roman" w:cs="Times New Roman"/>
          <w:sz w:val="28"/>
          <w:szCs w:val="28"/>
        </w:rPr>
        <w:t>Враховуючи наявність на території Хотинської міської територіальної громади навчальних закладів професійного спрямування, де здійснюють підготовку в</w:t>
      </w:r>
      <w:r>
        <w:rPr>
          <w:rFonts w:ascii="Times New Roman" w:eastAsia="Times New Roman" w:hAnsi="Times New Roman" w:cs="Times New Roman"/>
          <w:sz w:val="28"/>
          <w:szCs w:val="28"/>
        </w:rPr>
        <w:t>одіїв автотранспорту, автомобільної школи, діючий професійний ліцей, де здійснюють підготовку кваліфікованих працівників для потреб сільського господарства та транспортної галузі,  в сусідній громаді та розвинене автотранспортне сполучення, доступність кор</w:t>
      </w:r>
      <w:r>
        <w:rPr>
          <w:rFonts w:ascii="Times New Roman" w:eastAsia="Times New Roman" w:hAnsi="Times New Roman" w:cs="Times New Roman"/>
          <w:sz w:val="28"/>
          <w:szCs w:val="28"/>
        </w:rPr>
        <w:t>донів та зростаючу кількість зареєстрованих автотранспортних засобів у громаді, необхідним стає оптимізація системи доступності населення адміністративних послуг з переоформлення транспортних засобів, та обміном посвідчення.</w:t>
      </w:r>
    </w:p>
    <w:p w14:paraId="2F25B520" w14:textId="77777777" w:rsidR="00F3582F" w:rsidRDefault="00783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Варто зазначити, що ЦНАП Хотинс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ької міської ради надає адміністративні послуги мешканцям сусідніх громад, де наразі відсутні можливості надання таких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A252D5" w14:textId="77777777" w:rsidR="00F3582F" w:rsidRDefault="00F3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725096C8" w14:textId="77777777" w:rsidR="00F3582F" w:rsidRDefault="00783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БЮДЖЕТ ПРОЕКТУ</w:t>
      </w:r>
    </w:p>
    <w:p w14:paraId="18B57BF5" w14:textId="77777777" w:rsidR="00F3582F" w:rsidRDefault="00783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ЗАГАЛЬНИЙ БЮДЖЕТ ПРОЕКТУ</w:t>
      </w:r>
    </w:p>
    <w:p w14:paraId="05611EE1" w14:textId="77777777" w:rsidR="00F3582F" w:rsidRDefault="00F3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e"/>
        <w:tblW w:w="10271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018"/>
        <w:gridCol w:w="825"/>
        <w:gridCol w:w="1018"/>
        <w:gridCol w:w="900"/>
        <w:gridCol w:w="585"/>
        <w:gridCol w:w="810"/>
        <w:gridCol w:w="900"/>
        <w:gridCol w:w="600"/>
        <w:gridCol w:w="810"/>
        <w:gridCol w:w="1095"/>
      </w:tblGrid>
      <w:tr w:rsidR="00F3582F" w14:paraId="67FA0B8D" w14:textId="77777777">
        <w:trPr>
          <w:trHeight w:val="60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4C0A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Заходи, що здійснюватимуться за проектом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2594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Загальна 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(тис. грн)</w:t>
            </w:r>
          </w:p>
        </w:tc>
        <w:tc>
          <w:tcPr>
            <w:tcW w:w="7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61AC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Джерела фінансування, тис. грн</w:t>
            </w:r>
          </w:p>
        </w:tc>
      </w:tr>
      <w:tr w:rsidR="00F3582F" w14:paraId="110E3EF3" w14:textId="77777777">
        <w:trPr>
          <w:trHeight w:val="60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1B07" w14:textId="77777777" w:rsidR="00F3582F" w:rsidRDefault="00F3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D094" w14:textId="77777777" w:rsidR="00F3582F" w:rsidRDefault="00F3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B37A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першому бюджетному році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36F3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другому бюджетному році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C3C4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третьому бюджетному році</w:t>
            </w:r>
          </w:p>
        </w:tc>
      </w:tr>
      <w:tr w:rsidR="00F3582F" w14:paraId="100155F1" w14:textId="77777777">
        <w:trPr>
          <w:trHeight w:val="60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B6C8" w14:textId="77777777" w:rsidR="00F3582F" w:rsidRDefault="00F3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13EF" w14:textId="77777777" w:rsidR="00F3582F" w:rsidRDefault="00F3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ACA3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ДФРР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C9F2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35DC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інші джерела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16F6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ДФРР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8D44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68DC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інші джерела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7CC4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ДФРР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3190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2A4B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інші джерела</w:t>
            </w:r>
          </w:p>
        </w:tc>
      </w:tr>
      <w:tr w:rsidR="00F3582F" w14:paraId="045CB857" w14:textId="77777777">
        <w:trPr>
          <w:trHeight w:val="6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B819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Обладнання для створення 9 віддалених робочих місць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5DBE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618,98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0084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557,08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8E29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9C4C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14E7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E784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87B2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A236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D6B2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45C7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3582F" w14:paraId="00249508" w14:textId="77777777">
        <w:trPr>
          <w:trHeight w:val="6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9B4C" w14:textId="77777777" w:rsidR="00F3582F" w:rsidRDefault="0078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Комп'ютерне обладнання (програмно-апаратний комплекс для оформлення та видачі посвідчень водія і реєстрації транспортний засобів)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AD90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705E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337,6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6DC9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953C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D0C5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1BB1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0E2D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82A7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2441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8516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3582F" w14:paraId="1D4766DC" w14:textId="77777777">
        <w:trPr>
          <w:trHeight w:val="6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0716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РАЗОМ: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8CCB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1002,98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19A0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894,68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DEED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EEBB" w14:textId="77777777" w:rsidR="00F3582F" w:rsidRDefault="00F35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6476" w14:textId="77777777" w:rsidR="00F3582F" w:rsidRDefault="00F35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C542" w14:textId="77777777" w:rsidR="00F3582F" w:rsidRDefault="00F35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25E8" w14:textId="77777777" w:rsidR="00F3582F" w:rsidRDefault="00F35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0036" w14:textId="77777777" w:rsidR="00F3582F" w:rsidRDefault="00F35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E3AB" w14:textId="77777777" w:rsidR="00F3582F" w:rsidRDefault="00F35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FEF8" w14:textId="77777777" w:rsidR="00F3582F" w:rsidRDefault="00F35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741B593" w14:textId="77777777" w:rsidR="00F3582F" w:rsidRDefault="00783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РОЗКЛАД БЮДЖЕТУ ЗА СТАТТЯМИ ВИДАТКІВ</w:t>
      </w:r>
    </w:p>
    <w:p w14:paraId="0EDFB653" w14:textId="77777777" w:rsidR="00F3582F" w:rsidRDefault="00F3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f"/>
        <w:tblW w:w="9994" w:type="dxa"/>
        <w:tblInd w:w="-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990"/>
        <w:gridCol w:w="900"/>
        <w:gridCol w:w="1039"/>
        <w:gridCol w:w="900"/>
        <w:gridCol w:w="480"/>
        <w:gridCol w:w="1005"/>
        <w:gridCol w:w="780"/>
        <w:gridCol w:w="600"/>
        <w:gridCol w:w="1005"/>
        <w:gridCol w:w="780"/>
      </w:tblGrid>
      <w:tr w:rsidR="00F3582F" w14:paraId="66502C34" w14:textId="77777777">
        <w:trPr>
          <w:trHeight w:val="60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5389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Статті видатків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9040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Загальна сума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CD26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Джерела фінансування,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тис.грн</w:t>
            </w:r>
            <w:proofErr w:type="spellEnd"/>
          </w:p>
        </w:tc>
      </w:tr>
      <w:tr w:rsidR="00F3582F" w14:paraId="365520D2" w14:textId="77777777">
        <w:trPr>
          <w:trHeight w:val="60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BB68" w14:textId="77777777" w:rsidR="00F3582F" w:rsidRDefault="00F3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4990" w14:textId="77777777" w:rsidR="00F3582F" w:rsidRDefault="00F3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0FC7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першому бюджетному році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FF6F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другому бюджетному році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43BB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третьому бюджетному році</w:t>
            </w:r>
          </w:p>
        </w:tc>
      </w:tr>
      <w:tr w:rsidR="00F3582F" w14:paraId="4784C50B" w14:textId="77777777">
        <w:trPr>
          <w:trHeight w:val="60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E17E" w14:textId="77777777" w:rsidR="00F3582F" w:rsidRDefault="00F3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8A5E" w14:textId="77777777" w:rsidR="00F3582F" w:rsidRDefault="00F35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320F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ДФРР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314D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5E97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інші джерела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BE5F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ДФРР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EB1F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EF57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інші джерела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9661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ДФРР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BC70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ED2E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інші джерела</w:t>
            </w:r>
          </w:p>
        </w:tc>
      </w:tr>
      <w:tr w:rsidR="00F3582F" w14:paraId="638F69E0" w14:textId="77777777">
        <w:trPr>
          <w:trHeight w:val="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0DD6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Видатки споживання: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B896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3746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37AC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80A7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3EDE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9278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D030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8150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C146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9B02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82F" w14:paraId="27C3B392" w14:textId="77777777">
        <w:trPr>
          <w:trHeight w:val="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A187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Закупівля комп’ютерної та спеціалізованої техніки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61C7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882,98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EFCE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794,682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6384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88,298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82D6" w14:textId="77777777" w:rsidR="00F3582F" w:rsidRDefault="00F35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3B50" w14:textId="77777777" w:rsidR="00F3582F" w:rsidRDefault="00F35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3160" w14:textId="77777777" w:rsidR="00F3582F" w:rsidRDefault="00F35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E407" w14:textId="77777777" w:rsidR="00F3582F" w:rsidRDefault="00F35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A435" w14:textId="77777777" w:rsidR="00F3582F" w:rsidRDefault="00F35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398D" w14:textId="77777777" w:rsidR="00F3582F" w:rsidRDefault="00F35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CE30" w14:textId="77777777" w:rsidR="00F3582F" w:rsidRDefault="00F358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82F" w14:paraId="0ABB82A7" w14:textId="77777777">
        <w:trPr>
          <w:trHeight w:val="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C15B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Видатки розвитку: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8750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FE4D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9B94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3ACF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D9F7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8623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C967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4257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0036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F414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82F" w14:paraId="0449C8CA" w14:textId="77777777">
        <w:trPr>
          <w:trHeight w:val="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FCE9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51FB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F422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9031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B1D1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8F3F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2214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29F8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BFC2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6190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98A6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82F" w14:paraId="5D19B78E" w14:textId="77777777">
        <w:trPr>
          <w:trHeight w:val="6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8E81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РАЗОМ: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A947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882,98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EE65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794,682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7E38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88.298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08E8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689A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97E4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D0CC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DE77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4DD7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01B2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3EA3B963" w14:textId="77777777" w:rsidR="00F3582F" w:rsidRDefault="00F3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2A0BD140" w14:textId="77777777" w:rsidR="00F3582F" w:rsidRDefault="00783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ОЧІКУВАНІ ДЖЕРЕЛА ФІНАНСУВАННЯ</w:t>
      </w:r>
    </w:p>
    <w:p w14:paraId="22674644" w14:textId="77777777" w:rsidR="00F3582F" w:rsidRDefault="00F3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f0"/>
        <w:tblW w:w="96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2"/>
        <w:gridCol w:w="1381"/>
        <w:gridCol w:w="2566"/>
      </w:tblGrid>
      <w:tr w:rsidR="00F3582F" w14:paraId="082AB902" w14:textId="77777777">
        <w:trPr>
          <w:trHeight w:val="60"/>
        </w:trPr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5327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Джерела фінансування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DEB3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69A5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 загального обсягу фінансування проекту, %</w:t>
            </w:r>
          </w:p>
        </w:tc>
      </w:tr>
      <w:tr w:rsidR="00F3582F" w14:paraId="4C702816" w14:textId="77777777">
        <w:trPr>
          <w:trHeight w:val="60"/>
        </w:trPr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41F0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Фінансування з ДФРР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8793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794,682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081E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F3582F" w14:paraId="5B706BAC" w14:textId="77777777">
        <w:trPr>
          <w:trHeight w:val="60"/>
        </w:trPr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AEE2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Фінансування з місцевого бюджету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D43D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88,298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1496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3582F" w14:paraId="3B4AD772" w14:textId="77777777">
        <w:trPr>
          <w:trHeight w:val="60"/>
        </w:trPr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93A2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Фінансування за рахунок інших джерел (зазначити)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6D3D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B0A0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82F" w14:paraId="7E3DB87D" w14:textId="77777777">
        <w:trPr>
          <w:trHeight w:val="60"/>
        </w:trPr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0ADA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обсяг фінансування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3041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882,98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E609" w14:textId="77777777" w:rsidR="00F3582F" w:rsidRDefault="00783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20DB8FB8" w14:textId="77777777" w:rsidR="00F3582F" w:rsidRDefault="00F3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76" w:right="37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22254682" w14:textId="77777777" w:rsidR="00F3582F" w:rsidRDefault="00783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76" w:right="3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РОЗРАХУНОК ВАРТОСТІ ПРОЕКТУ</w:t>
      </w:r>
    </w:p>
    <w:p w14:paraId="0B0EB9B4" w14:textId="77777777" w:rsidR="00F3582F" w:rsidRDefault="00F358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76" w:right="37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EF6E503" w14:textId="77777777" w:rsidR="00F3582F" w:rsidRDefault="007830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Документи щодо підтвердження вартості проекту.</w:t>
      </w:r>
    </w:p>
    <w:p w14:paraId="70BC8DE3" w14:textId="77777777" w:rsidR="00F3582F" w:rsidRDefault="00F35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ff1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6"/>
        <w:gridCol w:w="3225"/>
        <w:gridCol w:w="1163"/>
        <w:gridCol w:w="840"/>
        <w:gridCol w:w="1163"/>
        <w:gridCol w:w="2741"/>
      </w:tblGrid>
      <w:tr w:rsidR="00F3582F" w14:paraId="03FD614C" w14:textId="77777777">
        <w:trPr>
          <w:trHeight w:val="770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C2997" w14:textId="77777777" w:rsidR="00F3582F" w:rsidRDefault="0078308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43D87" w14:textId="77777777" w:rsidR="00F3582F" w:rsidRDefault="0078308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Найменування обладнання</w:t>
            </w: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93C4E" w14:textId="77777777" w:rsidR="00F3582F" w:rsidRDefault="0078308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Ціна, грн.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B7B7C" w14:textId="77777777" w:rsidR="00F3582F" w:rsidRDefault="0078308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К-ть, шт.</w:t>
            </w:r>
          </w:p>
        </w:tc>
        <w:tc>
          <w:tcPr>
            <w:tcW w:w="1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D4DB0" w14:textId="77777777" w:rsidR="00F3582F" w:rsidRDefault="0078308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Сума, грн.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A4CB3" w14:textId="77777777" w:rsidR="00F3582F" w:rsidRDefault="0078308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Посилання на аналогічні товари/роботи/послуги</w:t>
            </w:r>
          </w:p>
        </w:tc>
      </w:tr>
      <w:tr w:rsidR="00F3582F" w14:paraId="58704870" w14:textId="77777777">
        <w:trPr>
          <w:trHeight w:val="2180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A5429" w14:textId="77777777" w:rsidR="00F3582F" w:rsidRDefault="007830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B818A" w14:textId="77777777" w:rsidR="00F3582F" w:rsidRDefault="007830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Комплект комп'ютерного обладнання в складі: 1) Системний блок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OptiPlex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3070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15/8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ddr4/128 ssd+500 ГБ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hdd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), 2) Монітор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Dell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LED 23.5 " SE 2416h, 3) Комплект безпровідний А4-Tech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клавіатура+мишка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3A09" w14:textId="77777777" w:rsidR="00F3582F" w:rsidRDefault="007830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49950.00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603C" w14:textId="77777777" w:rsidR="00F3582F" w:rsidRDefault="007830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8A61B" w14:textId="77777777" w:rsidR="00F3582F" w:rsidRDefault="007830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449550.00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91826" w14:textId="77777777" w:rsidR="00F3582F" w:rsidRDefault="007830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https://prozorro.gov.ua/tender/UA-2021-04-06-001301-a</w:t>
              </w:r>
            </w:hyperlink>
          </w:p>
        </w:tc>
      </w:tr>
      <w:tr w:rsidR="00F3582F" w14:paraId="4370E005" w14:textId="77777777">
        <w:trPr>
          <w:trHeight w:val="1100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DA56" w14:textId="77777777" w:rsidR="00F3582F" w:rsidRDefault="007830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FF36D" w14:textId="77777777" w:rsidR="00F3582F" w:rsidRDefault="007830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Джерело безперебійного  живлення для ПК та монітору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82CE" w14:textId="77777777" w:rsidR="00F3582F" w:rsidRDefault="007830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1989.60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C305" w14:textId="77777777" w:rsidR="00F3582F" w:rsidRDefault="007830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7AC6" w14:textId="77777777" w:rsidR="00F3582F" w:rsidRDefault="007830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17906.40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8BD3E" w14:textId="77777777" w:rsidR="00F3582F" w:rsidRDefault="007830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https://prozorro.gov.ua/tender/UA-2021-04-28-000869-b</w:t>
              </w:r>
            </w:hyperlink>
          </w:p>
        </w:tc>
      </w:tr>
      <w:tr w:rsidR="00F3582F" w14:paraId="474FEAE3" w14:textId="77777777">
        <w:trPr>
          <w:trHeight w:val="770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FA41" w14:textId="77777777" w:rsidR="00F3582F" w:rsidRDefault="007830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72AB" w14:textId="77777777" w:rsidR="00F3582F" w:rsidRDefault="007830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Флеш‐пам’ять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2E8E8" w14:textId="77777777" w:rsidR="00F3582F" w:rsidRDefault="007830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DD82" w14:textId="77777777" w:rsidR="00F3582F" w:rsidRDefault="007830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773CE" w14:textId="77777777" w:rsidR="00F3582F" w:rsidRDefault="007830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2304,00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28CC9" w14:textId="77777777" w:rsidR="00F3582F" w:rsidRDefault="007830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https://prozorro.gov.ua/tender/UA-2021-04-30-000994-c</w:t>
              </w:r>
            </w:hyperlink>
          </w:p>
        </w:tc>
      </w:tr>
      <w:tr w:rsidR="00F3582F" w14:paraId="2F41DF00" w14:textId="77777777">
        <w:trPr>
          <w:trHeight w:val="1040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2E7A5" w14:textId="77777777" w:rsidR="00F3582F" w:rsidRDefault="007830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D9556" w14:textId="77777777" w:rsidR="00F3582F" w:rsidRDefault="007830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Багатофункціональний пристрій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Xerox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WorkCentre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3025BI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Wi-Fi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(або його аналог)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6C967" w14:textId="77777777" w:rsidR="00F3582F" w:rsidRDefault="007830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940FF" w14:textId="77777777" w:rsidR="00F3582F" w:rsidRDefault="007830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F428A" w14:textId="77777777" w:rsidR="00F3582F" w:rsidRDefault="007830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140400,00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8820D" w14:textId="77777777" w:rsidR="00F3582F" w:rsidRDefault="007830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https://prozorro.gov.ua/tender/UA-2021-05-05-004300-c</w:t>
              </w:r>
            </w:hyperlink>
          </w:p>
        </w:tc>
      </w:tr>
      <w:tr w:rsidR="00F3582F" w14:paraId="220C7FD2" w14:textId="77777777">
        <w:trPr>
          <w:trHeight w:val="770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4D846" w14:textId="77777777" w:rsidR="00F3582F" w:rsidRDefault="007830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99DAA" w14:textId="77777777" w:rsidR="00F3582F" w:rsidRDefault="007830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Роутер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WI-FI (маршрутизатор)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2715A" w14:textId="77777777" w:rsidR="00F3582F" w:rsidRDefault="007830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3676F" w14:textId="77777777" w:rsidR="00F3582F" w:rsidRDefault="007830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3C9B7" w14:textId="77777777" w:rsidR="00F3582F" w:rsidRDefault="007830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E5AC1" w14:textId="77777777" w:rsidR="00F3582F" w:rsidRDefault="007830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https://prozorro.gov.ua/tender/UA-2021-05-06-003687-c</w:t>
              </w:r>
            </w:hyperlink>
          </w:p>
        </w:tc>
      </w:tr>
      <w:tr w:rsidR="00F3582F" w14:paraId="556848CF" w14:textId="77777777">
        <w:trPr>
          <w:trHeight w:val="770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6FBB" w14:textId="77777777" w:rsidR="00F3582F" w:rsidRDefault="007830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B4DF9" w14:textId="77777777" w:rsidR="00F3582F" w:rsidRDefault="007830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USB-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hub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B18A7" w14:textId="77777777" w:rsidR="00F3582F" w:rsidRDefault="007830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DBEA6" w14:textId="77777777" w:rsidR="00F3582F" w:rsidRDefault="007830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7A313" w14:textId="77777777" w:rsidR="00F3582F" w:rsidRDefault="007830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1620,00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7CF4B" w14:textId="77777777" w:rsidR="00F3582F" w:rsidRDefault="007830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</w:rPr>
                <w:t>https://prozorro.gov.ua/tender/UA-2021-05-05-002610-c</w:t>
              </w:r>
            </w:hyperlink>
          </w:p>
        </w:tc>
      </w:tr>
      <w:tr w:rsidR="00F3582F" w14:paraId="1F508F85" w14:textId="77777777">
        <w:trPr>
          <w:trHeight w:val="770"/>
        </w:trPr>
        <w:tc>
          <w:tcPr>
            <w:tcW w:w="5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E21DD" w14:textId="77777777" w:rsidR="00F3582F" w:rsidRDefault="007830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5EE02" w14:textId="77777777" w:rsidR="00F3582F" w:rsidRDefault="007830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Програмно-апаратний комплекс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88A95" w14:textId="77777777" w:rsidR="00F3582F" w:rsidRDefault="007830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264000,00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5763" w14:textId="77777777" w:rsidR="00F3582F" w:rsidRDefault="007830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41F7" w14:textId="77777777" w:rsidR="00F3582F" w:rsidRDefault="007830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264000,00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161C5" w14:textId="77777777" w:rsidR="00F3582F" w:rsidRDefault="00F358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F3582F" w14:paraId="2D2A040A" w14:textId="77777777">
        <w:trPr>
          <w:trHeight w:val="500"/>
        </w:trPr>
        <w:tc>
          <w:tcPr>
            <w:tcW w:w="37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EA9B2" w14:textId="77777777" w:rsidR="00F3582F" w:rsidRDefault="0078308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Разом: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0FD57" w14:textId="77777777" w:rsidR="00F3582F" w:rsidRDefault="007830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3A6D4" w14:textId="77777777" w:rsidR="00F3582F" w:rsidRDefault="007830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40402" w14:textId="77777777" w:rsidR="00F3582F" w:rsidRDefault="007830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882980,40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A9746" w14:textId="77777777" w:rsidR="00F3582F" w:rsidRDefault="007830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3FE9C288" w14:textId="77777777" w:rsidR="00F3582F" w:rsidRDefault="00F358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</w:p>
    <w:p w14:paraId="05D8BF84" w14:textId="77777777" w:rsidR="00F3582F" w:rsidRDefault="00F35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37D1D7" w14:textId="77777777" w:rsidR="00F3582F" w:rsidRDefault="0078308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637A095C" w14:textId="77777777" w:rsidR="00F3582F" w:rsidRDefault="00783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Технічне завдання на інвестиційну програму </w:t>
      </w:r>
    </w:p>
    <w:p w14:paraId="5BC5E99C" w14:textId="77777777" w:rsidR="00F3582F" w:rsidRDefault="00783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регіонального розвитку, що може реалізовуватися </w:t>
      </w:r>
    </w:p>
    <w:p w14:paraId="529FE1AF" w14:textId="77777777" w:rsidR="00F3582F" w:rsidRDefault="00783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рахунок коштів державного фонду регіонального розвитку</w:t>
      </w:r>
    </w:p>
    <w:p w14:paraId="5AA1D283" w14:textId="77777777" w:rsidR="00F3582F" w:rsidRDefault="00F3582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2"/>
        <w:tblW w:w="9391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6"/>
        <w:gridCol w:w="1088"/>
        <w:gridCol w:w="1118"/>
        <w:gridCol w:w="1133"/>
        <w:gridCol w:w="1056"/>
        <w:gridCol w:w="1410"/>
      </w:tblGrid>
      <w:tr w:rsidR="00F3582F" w14:paraId="21DFE35A" w14:textId="77777777">
        <w:tc>
          <w:tcPr>
            <w:tcW w:w="3586" w:type="dxa"/>
          </w:tcPr>
          <w:p w14:paraId="0D15C090" w14:textId="77777777" w:rsidR="00F3582F" w:rsidRDefault="0078308C">
            <w:pPr>
              <w:shd w:val="clear" w:color="auto" w:fill="FFFFFF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Номер технічного завдання</w:t>
            </w:r>
          </w:p>
        </w:tc>
        <w:tc>
          <w:tcPr>
            <w:tcW w:w="5805" w:type="dxa"/>
            <w:gridSpan w:val="5"/>
          </w:tcPr>
          <w:p w14:paraId="1689070B" w14:textId="77777777" w:rsidR="00F3582F" w:rsidRDefault="007830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1.2.4 </w:t>
            </w:r>
          </w:p>
        </w:tc>
      </w:tr>
      <w:tr w:rsidR="00F3582F" w14:paraId="344D86EC" w14:textId="77777777">
        <w:trPr>
          <w:trHeight w:val="315"/>
        </w:trPr>
        <w:tc>
          <w:tcPr>
            <w:tcW w:w="3586" w:type="dxa"/>
          </w:tcPr>
          <w:p w14:paraId="2521A992" w14:textId="77777777" w:rsidR="00F3582F" w:rsidRDefault="0078308C">
            <w:pPr>
              <w:shd w:val="clear" w:color="auto" w:fill="FFFFFF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Назва технічного завдання</w:t>
            </w:r>
          </w:p>
        </w:tc>
        <w:tc>
          <w:tcPr>
            <w:tcW w:w="5805" w:type="dxa"/>
            <w:gridSpan w:val="5"/>
          </w:tcPr>
          <w:p w14:paraId="17731085" w14:textId="77777777" w:rsidR="00F3582F" w:rsidRDefault="007830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 інституційної підтримки підприємництва</w:t>
            </w:r>
          </w:p>
        </w:tc>
      </w:tr>
      <w:tr w:rsidR="00F3582F" w14:paraId="2B2AC0A1" w14:textId="77777777">
        <w:tc>
          <w:tcPr>
            <w:tcW w:w="3586" w:type="dxa"/>
          </w:tcPr>
          <w:p w14:paraId="1D3DE5F3" w14:textId="77777777" w:rsidR="00F3582F" w:rsidRDefault="0078308C">
            <w:pPr>
              <w:shd w:val="clear" w:color="auto" w:fill="FFFFFF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Номер і назва завдання з </w:t>
            </w:r>
            <w:hyperlink r:id="rId15" w:anchor="_blank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Державної стратегії регіонального розвитку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якому відповідає технічне завдання</w:t>
            </w:r>
          </w:p>
        </w:tc>
        <w:tc>
          <w:tcPr>
            <w:tcW w:w="5805" w:type="dxa"/>
            <w:gridSpan w:val="5"/>
          </w:tcPr>
          <w:p w14:paraId="6AAB696D" w14:textId="77777777" w:rsidR="00F3582F" w:rsidRDefault="0078308C">
            <w:pPr>
              <w:shd w:val="clear" w:color="auto" w:fill="FFFFFF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Стратегічна ціль I. “Формування згуртованої держави в соціальному, гуманітарному, економічному, екологічному, безпековому та просторовому вимірах”</w:t>
            </w:r>
          </w:p>
          <w:p w14:paraId="4CF865BF" w14:textId="77777777" w:rsidR="00F3582F" w:rsidRDefault="0078308C">
            <w:pPr>
              <w:shd w:val="clear" w:color="auto" w:fill="FFFFFF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 ціль 4 “Розвиток інфраструктури та цифрова трансформація регіонів”</w:t>
            </w:r>
          </w:p>
          <w:p w14:paraId="7064207C" w14:textId="77777777" w:rsidR="00F3582F" w:rsidRDefault="0078308C">
            <w:pPr>
              <w:shd w:val="clear" w:color="auto" w:fill="FFFFFF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Завдання за напрямом “Розвиток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інженерної інфраструктури”</w:t>
            </w:r>
          </w:p>
          <w:p w14:paraId="4C3F158E" w14:textId="77777777" w:rsidR="00F3582F" w:rsidRDefault="0078308C">
            <w:pPr>
              <w:shd w:val="clear" w:color="auto" w:fill="FFFFFF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Сприяння створенню моделі “енергоефективна громада”, спрямованої на першочергове впорядкування об’єктів комунальної власності з поступовим переходом до об’єктів житлового фонду,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можливість ефективного використання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юджетів територіальних громад.</w:t>
            </w:r>
          </w:p>
        </w:tc>
      </w:tr>
      <w:tr w:rsidR="00F3582F" w14:paraId="56A22865" w14:textId="77777777">
        <w:tc>
          <w:tcPr>
            <w:tcW w:w="3586" w:type="dxa"/>
          </w:tcPr>
          <w:p w14:paraId="222CA460" w14:textId="77777777" w:rsidR="00F3582F" w:rsidRDefault="0078308C">
            <w:pPr>
              <w:shd w:val="clear" w:color="auto" w:fill="FFFFFF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Номер і назва завдання з відповідної стратегії розвитку регіону, якому відповідає технічне завдання</w:t>
            </w:r>
          </w:p>
        </w:tc>
        <w:tc>
          <w:tcPr>
            <w:tcW w:w="5805" w:type="dxa"/>
            <w:gridSpan w:val="5"/>
          </w:tcPr>
          <w:p w14:paraId="25AAC015" w14:textId="77777777" w:rsidR="00F3582F" w:rsidRDefault="007830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відповідає Стратегії розвитку Чернівецької області на період до 2027 року.</w:t>
            </w:r>
          </w:p>
          <w:p w14:paraId="2297AADD" w14:textId="77777777" w:rsidR="00F3582F" w:rsidRDefault="007830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Стратегічна ціль: 2. Просторове планування та розвиток інфраструктури</w:t>
            </w:r>
          </w:p>
          <w:p w14:paraId="2F82B3D5" w14:textId="77777777" w:rsidR="00F3582F" w:rsidRDefault="007830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 ціль: 2.2. Забезпечення розвитку</w:t>
            </w:r>
          </w:p>
          <w:p w14:paraId="4439BA29" w14:textId="77777777" w:rsidR="00F3582F" w:rsidRDefault="007830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інфраструктури регіону.</w:t>
            </w:r>
          </w:p>
          <w:p w14:paraId="75A7912E" w14:textId="77777777" w:rsidR="00F3582F" w:rsidRDefault="007830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Завдання: 2.2.6. Підвищення рівня 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агоустрою населених пунктів</w:t>
            </w:r>
          </w:p>
          <w:p w14:paraId="38798D32" w14:textId="77777777" w:rsidR="00F3582F" w:rsidRDefault="007830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створення безперешкодного життєвого середовища</w:t>
            </w:r>
          </w:p>
          <w:p w14:paraId="2A2A77D4" w14:textId="77777777" w:rsidR="00F3582F" w:rsidRDefault="007830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осіб з обмеженими фізичними можливостями та</w:t>
            </w:r>
          </w:p>
          <w:p w14:paraId="3A43D07D" w14:textId="77777777" w:rsidR="00F3582F" w:rsidRDefault="007830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 маломобільних груп населення.</w:t>
            </w:r>
          </w:p>
        </w:tc>
      </w:tr>
      <w:tr w:rsidR="00F3582F" w14:paraId="72B71E5D" w14:textId="77777777">
        <w:tc>
          <w:tcPr>
            <w:tcW w:w="3586" w:type="dxa"/>
          </w:tcPr>
          <w:p w14:paraId="25F4947E" w14:textId="77777777" w:rsidR="00F3582F" w:rsidRDefault="0078308C">
            <w:pPr>
              <w:shd w:val="clear" w:color="auto" w:fill="FFFFFF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Територія, на яку матиме вплив реалізація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технічним завданням </w:t>
            </w:r>
          </w:p>
        </w:tc>
        <w:tc>
          <w:tcPr>
            <w:tcW w:w="5805" w:type="dxa"/>
            <w:gridSpan w:val="5"/>
          </w:tcPr>
          <w:p w14:paraId="32F16B88" w14:textId="77777777" w:rsidR="00F3582F" w:rsidRDefault="0078308C">
            <w:pPr>
              <w:shd w:val="clear" w:color="auto" w:fill="FFFFFF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Хотинська міська територіальна громада</w:t>
            </w:r>
          </w:p>
        </w:tc>
      </w:tr>
      <w:tr w:rsidR="00F3582F" w14:paraId="6B9711ED" w14:textId="77777777">
        <w:tc>
          <w:tcPr>
            <w:tcW w:w="3586" w:type="dxa"/>
          </w:tcPr>
          <w:p w14:paraId="7614CD71" w14:textId="77777777" w:rsidR="00F3582F" w:rsidRDefault="0078308C">
            <w:pPr>
              <w:shd w:val="clear" w:color="auto" w:fill="FFFFFF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Опис проблеми, на вирішення якої спрямовано технічне завдання</w:t>
            </w:r>
          </w:p>
        </w:tc>
        <w:tc>
          <w:tcPr>
            <w:tcW w:w="5805" w:type="dxa"/>
            <w:gridSpan w:val="5"/>
          </w:tcPr>
          <w:p w14:paraId="171A6B67" w14:textId="77777777" w:rsidR="00F3582F" w:rsidRDefault="0078308C">
            <w:pPr>
              <w:shd w:val="clear" w:color="auto" w:fill="FFFFFF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Адміністративні послуги можна отримати лише в адміністративному центрі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омади, що є доволі складним для мешканців, які проживають у віддалених селах. Крім того, зважаючи на наявність автошкіл в громаді, вкрай важливою є  потреба населення в видачі/заміні водійського посвідчення. перереєстрацію транспортного засобу ближче до 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сця їхнього проживання.</w:t>
            </w:r>
          </w:p>
        </w:tc>
      </w:tr>
      <w:tr w:rsidR="00F3582F" w14:paraId="51AED010" w14:textId="77777777">
        <w:tc>
          <w:tcPr>
            <w:tcW w:w="3586" w:type="dxa"/>
          </w:tcPr>
          <w:p w14:paraId="1D97A431" w14:textId="77777777" w:rsidR="00F3582F" w:rsidRDefault="0078308C">
            <w:pPr>
              <w:shd w:val="clear" w:color="auto" w:fill="FFFFFF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Очікувані кількісні результати від реалізації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виконання технічного завдання</w:t>
            </w:r>
          </w:p>
        </w:tc>
        <w:tc>
          <w:tcPr>
            <w:tcW w:w="5805" w:type="dxa"/>
            <w:gridSpan w:val="5"/>
          </w:tcPr>
          <w:p w14:paraId="5D829F46" w14:textId="77777777" w:rsidR="00F3582F" w:rsidRDefault="0078308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створено 9 віддалених робочих місць;</w:t>
            </w:r>
          </w:p>
          <w:p w14:paraId="77253876" w14:textId="77777777" w:rsidR="00F3582F" w:rsidRDefault="0078308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понад 5000 мешканців громади отримають доступ до отримання якісних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своєму населеному пункті;</w:t>
            </w:r>
          </w:p>
          <w:p w14:paraId="69F4069E" w14:textId="77777777" w:rsidR="00F3582F" w:rsidRDefault="0078308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понад 120тис. населення Хотинської МТГ та сусідніх ТГ Чернівецької та  Хмельницької отримають доступ до адміністративних послуг з видачі/заміни водій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ського посвідчення реєстрації/перереєстрації транспортних засобів</w:t>
            </w:r>
          </w:p>
        </w:tc>
      </w:tr>
      <w:tr w:rsidR="00F3582F" w14:paraId="18E7D3D7" w14:textId="77777777">
        <w:trPr>
          <w:trHeight w:val="767"/>
        </w:trPr>
        <w:tc>
          <w:tcPr>
            <w:tcW w:w="3586" w:type="dxa"/>
          </w:tcPr>
          <w:p w14:paraId="3A70C889" w14:textId="77777777" w:rsidR="00F3582F" w:rsidRDefault="0078308C">
            <w:pPr>
              <w:shd w:val="clear" w:color="auto" w:fill="FFFFFF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 Очікувані якісні результати від реалізації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виконання технічного завдання</w:t>
            </w:r>
          </w:p>
        </w:tc>
        <w:tc>
          <w:tcPr>
            <w:tcW w:w="5805" w:type="dxa"/>
            <w:gridSpan w:val="5"/>
          </w:tcPr>
          <w:p w14:paraId="13C9F7A1" w14:textId="77777777" w:rsidR="00F3582F" w:rsidRDefault="0078308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покращення комфорту перебування громадян у ЦНАП</w:t>
            </w:r>
          </w:p>
          <w:p w14:paraId="462D9662" w14:textId="77777777" w:rsidR="00F3582F" w:rsidRDefault="0078308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зменшення витрат громадян на логістику до центральної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садиби з метою отримання адміністративних послуг;</w:t>
            </w:r>
          </w:p>
          <w:p w14:paraId="5DEEFE99" w14:textId="77777777" w:rsidR="00F3582F" w:rsidRDefault="0078308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покращення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теплоізолюючих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якостей будівлі</w:t>
            </w:r>
          </w:p>
          <w:p w14:paraId="34AA1AFC" w14:textId="77777777" w:rsidR="00F3582F" w:rsidRDefault="0078308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економія енергоносіїв для опалення бюджетних будівель</w:t>
            </w:r>
          </w:p>
          <w:p w14:paraId="7CDA027F" w14:textId="77777777" w:rsidR="00F3582F" w:rsidRDefault="0078308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зручність отримання водійського посвідчення в центрі територіальної громади</w:t>
            </w:r>
          </w:p>
          <w:p w14:paraId="529EB0E1" w14:textId="77777777" w:rsidR="00F3582F" w:rsidRDefault="0078308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зручність та швидкість перереєстр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ації транспортних засобів (без огляду експерта) без необхідності значний шлях до найближчого МВС сервісу</w:t>
            </w:r>
          </w:p>
          <w:p w14:paraId="2CF49390" w14:textId="77777777" w:rsidR="00F3582F" w:rsidRDefault="0078308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зменшення ризиків корупції серед працівників МВС</w:t>
            </w:r>
          </w:p>
          <w:p w14:paraId="3DCDBD66" w14:textId="77777777" w:rsidR="00F3582F" w:rsidRDefault="0078308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зменшення навантаження на суміжні МВС</w:t>
            </w:r>
          </w:p>
        </w:tc>
      </w:tr>
      <w:tr w:rsidR="00F3582F" w14:paraId="20DD2C0B" w14:textId="77777777">
        <w:tc>
          <w:tcPr>
            <w:tcW w:w="3586" w:type="dxa"/>
          </w:tcPr>
          <w:p w14:paraId="10B69428" w14:textId="77777777" w:rsidR="00F3582F" w:rsidRDefault="0078308C">
            <w:pPr>
              <w:shd w:val="clear" w:color="auto" w:fill="FFFFFF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Основні заходи технічного завдання</w:t>
            </w:r>
          </w:p>
        </w:tc>
        <w:tc>
          <w:tcPr>
            <w:tcW w:w="5805" w:type="dxa"/>
            <w:gridSpan w:val="5"/>
          </w:tcPr>
          <w:p w14:paraId="475E8D16" w14:textId="77777777" w:rsidR="00F3582F" w:rsidRDefault="0078308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 тендерних торгів, укладання договорів.</w:t>
            </w:r>
          </w:p>
          <w:p w14:paraId="11575492" w14:textId="77777777" w:rsidR="00F3582F" w:rsidRDefault="0078308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Встановлення комп'ютерного обладнання, зокрема програмно-апаратний комплекс для оформлення та видачі посвідчень водія і реєстрації транспортний засобів.</w:t>
            </w:r>
          </w:p>
          <w:p w14:paraId="5E5414C4" w14:textId="77777777" w:rsidR="00F3582F" w:rsidRDefault="0078308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Моніторинг якос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ті проведення робіт.</w:t>
            </w:r>
          </w:p>
          <w:p w14:paraId="5AAD9817" w14:textId="77777777" w:rsidR="00F3582F" w:rsidRDefault="0078308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Подання звітності по реалізації проекту.</w:t>
            </w:r>
          </w:p>
          <w:p w14:paraId="50B091FB" w14:textId="77777777" w:rsidR="00F3582F" w:rsidRDefault="0078308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Висвітлення в засобах масової інформації результатів реалізації проекту.</w:t>
            </w:r>
          </w:p>
        </w:tc>
      </w:tr>
      <w:tr w:rsidR="00F3582F" w14:paraId="260B92F3" w14:textId="77777777">
        <w:tc>
          <w:tcPr>
            <w:tcW w:w="3586" w:type="dxa"/>
          </w:tcPr>
          <w:p w14:paraId="5FEF5E03" w14:textId="77777777" w:rsidR="00F3582F" w:rsidRDefault="0078308C">
            <w:pPr>
              <w:shd w:val="clear" w:color="auto" w:fill="FFFFFF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Обсяг фінансування технічного завдання, тис. грн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</w:tcPr>
          <w:p w14:paraId="7CF685E2" w14:textId="77777777" w:rsidR="00F3582F" w:rsidRDefault="0078308C">
            <w:pPr>
              <w:shd w:val="clear" w:color="auto" w:fill="FFFFFF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рік</w:t>
            </w:r>
          </w:p>
        </w:tc>
        <w:tc>
          <w:tcPr>
            <w:tcW w:w="1118" w:type="dxa"/>
          </w:tcPr>
          <w:p w14:paraId="187B256B" w14:textId="77777777" w:rsidR="00F3582F" w:rsidRDefault="007830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рік</w:t>
            </w:r>
          </w:p>
        </w:tc>
        <w:tc>
          <w:tcPr>
            <w:tcW w:w="1133" w:type="dxa"/>
          </w:tcPr>
          <w:p w14:paraId="47572627" w14:textId="77777777" w:rsidR="00F3582F" w:rsidRDefault="0078308C">
            <w:pPr>
              <w:shd w:val="clear" w:color="auto" w:fill="FFFFFF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рік</w:t>
            </w:r>
          </w:p>
        </w:tc>
        <w:tc>
          <w:tcPr>
            <w:tcW w:w="1056" w:type="dxa"/>
          </w:tcPr>
          <w:p w14:paraId="755F8D6B" w14:textId="77777777" w:rsidR="00F3582F" w:rsidRDefault="0078308C">
            <w:pPr>
              <w:shd w:val="clear" w:color="auto" w:fill="FFFFFF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рік</w:t>
            </w:r>
          </w:p>
        </w:tc>
        <w:tc>
          <w:tcPr>
            <w:tcW w:w="1410" w:type="dxa"/>
          </w:tcPr>
          <w:p w14:paraId="6DC1273F" w14:textId="77777777" w:rsidR="00F3582F" w:rsidRDefault="007830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Усього</w:t>
            </w:r>
          </w:p>
        </w:tc>
      </w:tr>
      <w:tr w:rsidR="00F3582F" w14:paraId="7E2E4BB2" w14:textId="77777777">
        <w:trPr>
          <w:trHeight w:val="305"/>
        </w:trPr>
        <w:tc>
          <w:tcPr>
            <w:tcW w:w="3586" w:type="dxa"/>
          </w:tcPr>
          <w:p w14:paraId="25113FE2" w14:textId="77777777" w:rsidR="00F3582F" w:rsidRDefault="007830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бюджет:</w:t>
            </w:r>
          </w:p>
        </w:tc>
        <w:tc>
          <w:tcPr>
            <w:tcW w:w="1088" w:type="dxa"/>
          </w:tcPr>
          <w:p w14:paraId="21CC7F25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D367134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6CA1ABA8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11434F16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</w:tcPr>
          <w:p w14:paraId="5E3DA6A1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82F" w14:paraId="1435B0BF" w14:textId="77777777">
        <w:trPr>
          <w:trHeight w:val="450"/>
        </w:trPr>
        <w:tc>
          <w:tcPr>
            <w:tcW w:w="3586" w:type="dxa"/>
          </w:tcPr>
          <w:p w14:paraId="511AEA5E" w14:textId="77777777" w:rsidR="00F3582F" w:rsidRDefault="0078308C">
            <w:pPr>
              <w:shd w:val="clear" w:color="auto" w:fill="FFFFFF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державний фонд регіонального розвитку</w:t>
            </w:r>
          </w:p>
        </w:tc>
        <w:tc>
          <w:tcPr>
            <w:tcW w:w="1088" w:type="dxa"/>
          </w:tcPr>
          <w:p w14:paraId="109DF7FC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794,682</w:t>
            </w:r>
          </w:p>
        </w:tc>
        <w:tc>
          <w:tcPr>
            <w:tcW w:w="1118" w:type="dxa"/>
          </w:tcPr>
          <w:p w14:paraId="173F3E3D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70436CC5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65B0ADC3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</w:tcPr>
          <w:p w14:paraId="4606F6C5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794,682</w:t>
            </w:r>
          </w:p>
        </w:tc>
      </w:tr>
      <w:tr w:rsidR="00F3582F" w14:paraId="69BF0585" w14:textId="77777777">
        <w:tc>
          <w:tcPr>
            <w:tcW w:w="3586" w:type="dxa"/>
          </w:tcPr>
          <w:p w14:paraId="6ACA464F" w14:textId="77777777" w:rsidR="00F3582F" w:rsidRDefault="007830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інші джерела (зазначити) </w:t>
            </w:r>
          </w:p>
        </w:tc>
        <w:tc>
          <w:tcPr>
            <w:tcW w:w="1088" w:type="dxa"/>
            <w:vAlign w:val="center"/>
          </w:tcPr>
          <w:p w14:paraId="6CF82401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vAlign w:val="center"/>
          </w:tcPr>
          <w:p w14:paraId="068A3C5E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14:paraId="003A9B53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vAlign w:val="center"/>
          </w:tcPr>
          <w:p w14:paraId="636562F7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vAlign w:val="center"/>
          </w:tcPr>
          <w:p w14:paraId="43929731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82F" w14:paraId="36B1A751" w14:textId="77777777">
        <w:trPr>
          <w:trHeight w:val="230"/>
        </w:trPr>
        <w:tc>
          <w:tcPr>
            <w:tcW w:w="3586" w:type="dxa"/>
          </w:tcPr>
          <w:p w14:paraId="6043AD89" w14:textId="77777777" w:rsidR="00F3582F" w:rsidRDefault="007830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088" w:type="dxa"/>
          </w:tcPr>
          <w:p w14:paraId="1F654207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88,298</w:t>
            </w:r>
          </w:p>
        </w:tc>
        <w:tc>
          <w:tcPr>
            <w:tcW w:w="1118" w:type="dxa"/>
          </w:tcPr>
          <w:p w14:paraId="0AA2D78B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2433B089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14:paraId="6E0844B8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</w:tcPr>
          <w:p w14:paraId="4E413596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88,298</w:t>
            </w:r>
          </w:p>
        </w:tc>
      </w:tr>
      <w:tr w:rsidR="00F3582F" w14:paraId="49C8C5EC" w14:textId="77777777">
        <w:tc>
          <w:tcPr>
            <w:tcW w:w="3586" w:type="dxa"/>
          </w:tcPr>
          <w:p w14:paraId="586C9083" w14:textId="77777777" w:rsidR="00F3582F" w:rsidRDefault="007830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інші джерела (зазначити)</w:t>
            </w:r>
          </w:p>
        </w:tc>
        <w:tc>
          <w:tcPr>
            <w:tcW w:w="1088" w:type="dxa"/>
            <w:vAlign w:val="center"/>
          </w:tcPr>
          <w:p w14:paraId="57F0D35F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vAlign w:val="center"/>
          </w:tcPr>
          <w:p w14:paraId="4CE9BEEC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vAlign w:val="center"/>
          </w:tcPr>
          <w:p w14:paraId="3E4E54A7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  <w:vAlign w:val="center"/>
          </w:tcPr>
          <w:p w14:paraId="5E125A3E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vAlign w:val="center"/>
          </w:tcPr>
          <w:p w14:paraId="011CD29F" w14:textId="77777777" w:rsidR="00F3582F" w:rsidRDefault="00783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82F" w14:paraId="0B8C7764" w14:textId="77777777">
        <w:tc>
          <w:tcPr>
            <w:tcW w:w="3586" w:type="dxa"/>
          </w:tcPr>
          <w:p w14:paraId="365DD65D" w14:textId="77777777" w:rsidR="00F3582F" w:rsidRDefault="0078308C">
            <w:pPr>
              <w:shd w:val="clear" w:color="auto" w:fill="FFFFFF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Інша інформація щодо технічного завдання (за потреби)</w:t>
            </w:r>
          </w:p>
        </w:tc>
        <w:tc>
          <w:tcPr>
            <w:tcW w:w="5805" w:type="dxa"/>
            <w:gridSpan w:val="5"/>
          </w:tcPr>
          <w:p w14:paraId="48F574BE" w14:textId="77777777" w:rsidR="00F3582F" w:rsidRDefault="0078308C">
            <w:pPr>
              <w:shd w:val="clear" w:color="auto" w:fill="FFFFFF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6CCED0E" w14:textId="77777777" w:rsidR="00F3582F" w:rsidRDefault="0078308C">
      <w:pPr>
        <w:spacing w:after="0" w:line="240" w:lineRule="auto"/>
        <w:jc w:val="center"/>
        <w:rPr>
          <w:color w:val="FF0000"/>
        </w:rPr>
      </w:pPr>
      <w:r>
        <w:br w:type="page"/>
      </w:r>
    </w:p>
    <w:p w14:paraId="1EAEEEA1" w14:textId="77777777" w:rsidR="00F3582F" w:rsidRDefault="00F3582F">
      <w:pPr>
        <w:spacing w:after="0" w:line="240" w:lineRule="auto"/>
        <w:jc w:val="center"/>
        <w:rPr>
          <w:rFonts w:ascii="Arial" w:eastAsia="Arial" w:hAnsi="Arial" w:cs="Arial"/>
          <w:color w:val="FF0000"/>
          <w:sz w:val="21"/>
          <w:szCs w:val="21"/>
          <w:highlight w:val="white"/>
        </w:rPr>
      </w:pPr>
    </w:p>
    <w:p w14:paraId="38056756" w14:textId="77777777" w:rsidR="00F3582F" w:rsidRDefault="00F35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25A27B5" w14:textId="77777777" w:rsidR="00F3582F" w:rsidRDefault="0078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Фінансова сталість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даний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є логічним продовженням заходів по створенню відповідних умов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ЦНАПі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 наданні адміністративних послуг. Фінансова сталість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буде забезпечуватися за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рахунок коштів державного, місцевого бюджету та коштів, які надійдуть від надання адміністративних послуг.</w:t>
      </w:r>
    </w:p>
    <w:sectPr w:rsidR="00F3582F">
      <w:footerReference w:type="default" r:id="rId16"/>
      <w:pgSz w:w="11906" w:h="16838"/>
      <w:pgMar w:top="993" w:right="850" w:bottom="709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7FCA2" w14:textId="77777777" w:rsidR="0078308C" w:rsidRDefault="0078308C">
      <w:pPr>
        <w:spacing w:after="0" w:line="240" w:lineRule="auto"/>
      </w:pPr>
      <w:r>
        <w:separator/>
      </w:r>
    </w:p>
  </w:endnote>
  <w:endnote w:type="continuationSeparator" w:id="0">
    <w:p w14:paraId="5FF6328D" w14:textId="77777777" w:rsidR="0078308C" w:rsidRDefault="0078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8B0C1" w14:textId="77777777" w:rsidR="00F3582F" w:rsidRDefault="007830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D31C0">
      <w:rPr>
        <w:color w:val="000000"/>
      </w:rPr>
      <w:fldChar w:fldCharType="separate"/>
    </w:r>
    <w:r w:rsidR="006D31C0">
      <w:rPr>
        <w:noProof/>
        <w:color w:val="000000"/>
      </w:rPr>
      <w:t>1</w:t>
    </w:r>
    <w:r>
      <w:rPr>
        <w:color w:val="000000"/>
      </w:rPr>
      <w:fldChar w:fldCharType="end"/>
    </w:r>
  </w:p>
  <w:p w14:paraId="39C1C4CA" w14:textId="77777777" w:rsidR="00F3582F" w:rsidRDefault="00F358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C23B6" w14:textId="77777777" w:rsidR="0078308C" w:rsidRDefault="0078308C">
      <w:pPr>
        <w:spacing w:after="0" w:line="240" w:lineRule="auto"/>
      </w:pPr>
      <w:r>
        <w:separator/>
      </w:r>
    </w:p>
  </w:footnote>
  <w:footnote w:type="continuationSeparator" w:id="0">
    <w:p w14:paraId="6BB69894" w14:textId="77777777" w:rsidR="0078308C" w:rsidRDefault="00783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7EB8"/>
    <w:multiLevelType w:val="multilevel"/>
    <w:tmpl w:val="656419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133022"/>
    <w:multiLevelType w:val="multilevel"/>
    <w:tmpl w:val="87BEE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4744F2"/>
    <w:multiLevelType w:val="multilevel"/>
    <w:tmpl w:val="89B44C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8009D3"/>
    <w:multiLevelType w:val="multilevel"/>
    <w:tmpl w:val="243C6B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6D7F58"/>
    <w:multiLevelType w:val="multilevel"/>
    <w:tmpl w:val="5CEA06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2370A6A"/>
    <w:multiLevelType w:val="multilevel"/>
    <w:tmpl w:val="6E4A9A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4E31A6"/>
    <w:multiLevelType w:val="multilevel"/>
    <w:tmpl w:val="BFAEF1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2F"/>
    <w:rsid w:val="006D31C0"/>
    <w:rsid w:val="0078308C"/>
    <w:rsid w:val="00F3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99F6"/>
  <w15:docId w15:val="{6E8B8D7A-89CE-4435-A567-F70E43F3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BED"/>
  </w:style>
  <w:style w:type="paragraph" w:styleId="1">
    <w:name w:val="heading 1"/>
    <w:basedOn w:val="5"/>
    <w:next w:val="5"/>
    <w:uiPriority w:val="9"/>
    <w:qFormat/>
    <w:rsid w:val="00353A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5"/>
    <w:next w:val="5"/>
    <w:uiPriority w:val="9"/>
    <w:semiHidden/>
    <w:unhideWhenUsed/>
    <w:qFormat/>
    <w:rsid w:val="00353A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5"/>
    <w:next w:val="5"/>
    <w:uiPriority w:val="9"/>
    <w:semiHidden/>
    <w:unhideWhenUsed/>
    <w:qFormat/>
    <w:rsid w:val="00353A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5"/>
    <w:next w:val="5"/>
    <w:uiPriority w:val="9"/>
    <w:semiHidden/>
    <w:unhideWhenUsed/>
    <w:qFormat/>
    <w:rsid w:val="00353A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0">
    <w:name w:val="heading 5"/>
    <w:basedOn w:val="5"/>
    <w:next w:val="5"/>
    <w:uiPriority w:val="9"/>
    <w:semiHidden/>
    <w:unhideWhenUsed/>
    <w:qFormat/>
    <w:rsid w:val="00353A8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5"/>
    <w:next w:val="5"/>
    <w:uiPriority w:val="9"/>
    <w:semiHidden/>
    <w:unhideWhenUsed/>
    <w:qFormat/>
    <w:rsid w:val="00353A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5"/>
    <w:next w:val="5"/>
    <w:uiPriority w:val="10"/>
    <w:qFormat/>
    <w:rsid w:val="00353A8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6365CB"/>
  </w:style>
  <w:style w:type="table" w:customStyle="1" w:styleId="TableNormal0">
    <w:name w:val="Table Normal"/>
    <w:rsid w:val="006365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Обычный2"/>
    <w:rsid w:val="006365CB"/>
  </w:style>
  <w:style w:type="table" w:customStyle="1" w:styleId="TableNormal1">
    <w:name w:val="Table Normal"/>
    <w:rsid w:val="006365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6365CB"/>
  </w:style>
  <w:style w:type="table" w:customStyle="1" w:styleId="TableNormal2">
    <w:name w:val="Table Normal"/>
    <w:rsid w:val="006365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6365CB"/>
  </w:style>
  <w:style w:type="table" w:customStyle="1" w:styleId="TableNormal3">
    <w:name w:val="Table Normal"/>
    <w:rsid w:val="006365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Обычный5"/>
    <w:rsid w:val="00353A8A"/>
  </w:style>
  <w:style w:type="table" w:customStyle="1" w:styleId="TableNormal4">
    <w:name w:val="Table Normal"/>
    <w:rsid w:val="00353A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4"/>
    <w:rsid w:val="00353A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rsid w:val="00353A8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4"/>
    <w:rsid w:val="00353A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rsid w:val="00353A8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4"/>
    <w:rsid w:val="00353A8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4"/>
    <w:rsid w:val="00353A8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019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0199D"/>
  </w:style>
  <w:style w:type="paragraph" w:styleId="ad">
    <w:name w:val="footer"/>
    <w:basedOn w:val="a"/>
    <w:link w:val="ae"/>
    <w:uiPriority w:val="99"/>
    <w:unhideWhenUsed/>
    <w:rsid w:val="009019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199D"/>
  </w:style>
  <w:style w:type="paragraph" w:styleId="af">
    <w:name w:val="Normal (Web)"/>
    <w:basedOn w:val="a"/>
    <w:uiPriority w:val="99"/>
    <w:unhideWhenUsed/>
    <w:rsid w:val="0028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4"/>
    <w:rsid w:val="006365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4"/>
    <w:rsid w:val="006365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4"/>
    <w:rsid w:val="006365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4"/>
    <w:rsid w:val="006365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4"/>
    <w:rsid w:val="006365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4"/>
    <w:rsid w:val="006365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4"/>
    <w:rsid w:val="006365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4"/>
    <w:rsid w:val="006365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4"/>
    <w:rsid w:val="006365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4"/>
    <w:rsid w:val="006365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4"/>
    <w:rsid w:val="006365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4"/>
    <w:rsid w:val="006365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4"/>
    <w:rsid w:val="006365C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4"/>
    <w:rsid w:val="006365C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4"/>
    <w:rsid w:val="006365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4"/>
    <w:rsid w:val="006365C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4"/>
    <w:rsid w:val="006365C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4"/>
    <w:rsid w:val="006365C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4"/>
    <w:rsid w:val="006365C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4"/>
    <w:rsid w:val="006365C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4"/>
    <w:rsid w:val="006365C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4"/>
    <w:rsid w:val="006365C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4"/>
    <w:rsid w:val="006365C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4"/>
    <w:rsid w:val="006365C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4"/>
    <w:rsid w:val="006365C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4"/>
    <w:rsid w:val="006365C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4"/>
    <w:rsid w:val="006365C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85-2014-%D0%BF" TargetMode="External"/><Relationship Id="rId13" Type="http://schemas.openxmlformats.org/officeDocument/2006/relationships/hyperlink" Target="https://prozorro.gov.ua/tender/UA-2021-05-06-003687-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zorro.gov.ua/tender/UA-2021-05-05-004300-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gov.ua/tender/UA-2021-04-30-000994-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385-2014-%D0%BF" TargetMode="External"/><Relationship Id="rId10" Type="http://schemas.openxmlformats.org/officeDocument/2006/relationships/hyperlink" Target="https://prozorro.gov.ua/tender/UA-2021-04-28-000869-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gov.ua/tender/UA-2021-04-06-001301-a" TargetMode="External"/><Relationship Id="rId14" Type="http://schemas.openxmlformats.org/officeDocument/2006/relationships/hyperlink" Target="https://prozorro.gov.ua/tender/UA-2021-05-05-002610-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k86ydrzKZeh5nOwPuzJbeSa6LA==">AMUW2mUEOQRvYGfidio3vg/D5OZwxGFWgmmpX0PXlhawF1XCOf5y5DYr4KUT9VvJ2T71vpEw+G4MTTV4vo6IM3K6ReCZdaB6P+g9lPIN3ULht9HVwmqpWdw=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13456</Words>
  <Characters>7670</Characters>
  <Application>Microsoft Office Word</Application>
  <DocSecurity>0</DocSecurity>
  <Lines>63</Lines>
  <Paragraphs>42</Paragraphs>
  <ScaleCrop>false</ScaleCrop>
  <Company/>
  <LinksUpToDate>false</LinksUpToDate>
  <CharactersWithSpaces>21084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 Petrova</dc:creator>
  <cp:lastModifiedBy>Lyuba Petrova</cp:lastModifiedBy>
  <cp:revision>2</cp:revision>
  <dcterms:created xsi:type="dcterms:W3CDTF">2021-09-10T15:38:00Z</dcterms:created>
  <dcterms:modified xsi:type="dcterms:W3CDTF">2021-09-10T15:38:00Z</dcterms:modified>
</cp:coreProperties>
</file>