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B9B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РЕЄСТРАЦІЙНА КАРТКА ПРОГРАМИ І ПРОЕКТУ РЕГІОНАЛЬНОГО РОЗВИТКУ, ЩО МОЖЕ РЕАЛІЗОВУВАТИСЯ ЗА РАХУНОК КОШТІВ ДЕРЖАВНОГО ФОНДУ РЕГІОНАЛЬНОГО РОЗВИТКУ</w:t>
      </w:r>
    </w:p>
    <w:tbl>
      <w:tblPr>
        <w:tblStyle w:val="af7"/>
        <w:tblW w:w="106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6"/>
        <w:gridCol w:w="992"/>
        <w:gridCol w:w="850"/>
        <w:gridCol w:w="705"/>
        <w:gridCol w:w="2038"/>
      </w:tblGrid>
      <w:tr w:rsidR="00475064" w14:paraId="4D631FF6" w14:textId="77777777">
        <w:trPr>
          <w:trHeight w:val="1018"/>
        </w:trPr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270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 програми і проекту регіонального розвитку, що може реалізовуватися за рахунок коштів державного фонду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регіонального розвитку (далі - проект)</w:t>
            </w:r>
          </w:p>
        </w:tc>
        <w:tc>
          <w:tcPr>
            <w:tcW w:w="45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FBF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багатофункціонального спортивного комплексу “Хотинська дитячо-юнацька спортивна школа” в м. Хотин по </w:t>
            </w:r>
          </w:p>
          <w:p w14:paraId="052A9357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Олімпійська, 75</w:t>
            </w:r>
          </w:p>
        </w:tc>
      </w:tr>
      <w:tr w:rsidR="00475064" w14:paraId="4A60B15D" w14:textId="77777777">
        <w:trPr>
          <w:trHeight w:val="836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F26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адміністративно-територіальної одиниці з класифікатора об’єктів адміні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стративно-територіального устрою України, де здійснюється реалізація проекту</w:t>
            </w:r>
          </w:p>
          <w:p w14:paraId="6DD9A260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1D0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7325010100</w:t>
            </w:r>
          </w:p>
        </w:tc>
      </w:tr>
      <w:tr w:rsidR="00475064" w14:paraId="22E47660" w14:textId="77777777">
        <w:trPr>
          <w:trHeight w:val="1086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1C3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Заявник (найменування центрального/місцевого органу виконавчої влади, органу виконавчої влади Автономної Республіки Крим / органу місцевого самоврядування / агенції регіонального розвитку)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601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Хотинська міська рада</w:t>
            </w:r>
          </w:p>
        </w:tc>
      </w:tr>
      <w:tr w:rsidR="00475064" w14:paraId="4D7D5151" w14:textId="77777777">
        <w:trPr>
          <w:trHeight w:val="195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0BC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та назва технічного завдання, на виконання якого реалізовується проект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A9E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 Розвиток спортивної інфраструктури та створення умов для розвитку молоді</w:t>
            </w:r>
          </w:p>
        </w:tc>
      </w:tr>
      <w:tr w:rsidR="00475064" w14:paraId="79B2C1A3" w14:textId="77777777">
        <w:trPr>
          <w:trHeight w:val="1095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60D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і назва завдання з </w:t>
            </w:r>
            <w:hyperlink r:id="rId7" w:anchor="n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Державної стратегії регіонального розвитку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якому відповідає проект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54A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Стратегічна ціль</w:t>
            </w:r>
          </w:p>
          <w:p w14:paraId="403D120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ІІ. «Підвищення рівня конкурентоспроможності регіонів»</w:t>
            </w:r>
          </w:p>
          <w:p w14:paraId="01E9F57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Оперативна ціль 1 «Розвиток людського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капіталу»</w:t>
            </w:r>
          </w:p>
          <w:p w14:paraId="077A4B9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Завдання за напрямом: «Формування здорової нації та створення належних умов для розвитку системи закладів фізичної культури і спорту, в тому числі для осіб з інвалідністю»</w:t>
            </w:r>
          </w:p>
        </w:tc>
      </w:tr>
      <w:tr w:rsidR="00475064" w14:paraId="1AF35586" w14:textId="77777777">
        <w:trPr>
          <w:trHeight w:val="1620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7C9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і назва завдання з відповідної стратегії розвитку регіону, якому відповідає проект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B86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відповідає Стратегії розвитку Чернівецької області на період до 2027 року.</w:t>
            </w:r>
          </w:p>
          <w:p w14:paraId="4BB71CB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Завдання:</w:t>
            </w:r>
          </w:p>
          <w:p w14:paraId="4AD45A8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4.3.2. «Створення умов соціального та правового захисту інтересів молоді», </w:t>
            </w:r>
          </w:p>
          <w:p w14:paraId="4FA2285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 «Розвиток спортивної інфраструктури»</w:t>
            </w:r>
          </w:p>
        </w:tc>
      </w:tr>
      <w:tr w:rsidR="00475064" w14:paraId="67131E44" w14:textId="77777777">
        <w:trPr>
          <w:trHeight w:val="165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B21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реалізації проекту (з (місяць, рік) до (місяць, рік))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45D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 2022 р. - жовтень 2023 р.</w:t>
            </w:r>
          </w:p>
        </w:tc>
      </w:tr>
      <w:tr w:rsidR="00475064" w14:paraId="683F08E6" w14:textId="77777777">
        <w:trPr>
          <w:trHeight w:val="176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118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кошторисна вартість проекту, тис. грн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9D4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11 909,78</w:t>
            </w:r>
          </w:p>
        </w:tc>
      </w:tr>
      <w:tr w:rsidR="00475064" w14:paraId="32392B9F" w14:textId="77777777">
        <w:trPr>
          <w:trHeight w:val="90"/>
        </w:trPr>
        <w:tc>
          <w:tcPr>
            <w:tcW w:w="60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5F8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обсяг фінансування проекту з державного фонду регіонального розвитку (далі - ДФРР), тис. грн</w:t>
            </w:r>
          </w:p>
          <w:p w14:paraId="616EC789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B88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B9C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040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2AC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75064" w14:paraId="56373877" w14:textId="77777777">
        <w:trPr>
          <w:trHeight w:val="15"/>
        </w:trPr>
        <w:tc>
          <w:tcPr>
            <w:tcW w:w="60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2FC1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D369" w14:textId="3F443425" w:rsidR="00475064" w:rsidRPr="00F624F7" w:rsidRDefault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8039.106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23E1" w14:textId="7ABA5CFC" w:rsidR="00475064" w:rsidRPr="00F624F7" w:rsidRDefault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2679.696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6C8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E97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10718,802</w:t>
            </w:r>
          </w:p>
        </w:tc>
      </w:tr>
      <w:tr w:rsidR="00475064" w14:paraId="1B2ED563" w14:textId="77777777">
        <w:trPr>
          <w:trHeight w:val="197"/>
        </w:trPr>
        <w:tc>
          <w:tcPr>
            <w:tcW w:w="60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11B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співфінансування проекту з місцевого бюджету, 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3CD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207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EBB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C8C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75064" w14:paraId="26CA4A69" w14:textId="77777777">
        <w:trPr>
          <w:trHeight w:val="39"/>
        </w:trPr>
        <w:tc>
          <w:tcPr>
            <w:tcW w:w="60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EEEF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3AF6" w14:textId="287DF0CD" w:rsidR="00475064" w:rsidRPr="00F624F7" w:rsidRDefault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893.234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DE30" w14:textId="14F6CBA3" w:rsidR="00475064" w:rsidRPr="00F624F7" w:rsidRDefault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297.744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A3B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79E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1190,978</w:t>
            </w:r>
          </w:p>
        </w:tc>
      </w:tr>
      <w:tr w:rsidR="00475064" w14:paraId="4BBFB0BF" w14:textId="77777777">
        <w:trPr>
          <w:trHeight w:val="174"/>
        </w:trPr>
        <w:tc>
          <w:tcPr>
            <w:tcW w:w="60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754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співфінансування проекту з інших джерел (зазначити), 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54E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E9A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2C3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5E2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475064" w14:paraId="0A4E27C5" w14:textId="77777777">
        <w:trPr>
          <w:trHeight w:val="2"/>
        </w:trPr>
        <w:tc>
          <w:tcPr>
            <w:tcW w:w="60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A3E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C19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434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F14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2B2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64" w14:paraId="421A8C6A" w14:textId="77777777"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6C6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регіону, в якому реалізовується проект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BD3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Чернівецька область</w:t>
            </w:r>
          </w:p>
        </w:tc>
      </w:tr>
      <w:tr w:rsidR="00475064" w14:paraId="0D788D1E" w14:textId="77777777">
        <w:trPr>
          <w:trHeight w:val="290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9E4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району, в якому реалізовується проект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75C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Дністровський район</w:t>
            </w:r>
          </w:p>
        </w:tc>
      </w:tr>
      <w:tr w:rsidR="00475064" w14:paraId="48AC0102" w14:textId="77777777">
        <w:trPr>
          <w:trHeight w:val="195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7D5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керівника заявника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F48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Андрій Дмитрович</w:t>
            </w:r>
          </w:p>
        </w:tc>
      </w:tr>
      <w:tr w:rsidR="00475064" w14:paraId="0EBA966E" w14:textId="77777777">
        <w:trPr>
          <w:trHeight w:val="176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852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заявника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80A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+38(067)-757-55-10,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dranchuk.ad@gmail.com</w:t>
            </w:r>
          </w:p>
        </w:tc>
      </w:tr>
      <w:tr w:rsidR="00475064" w14:paraId="6768BB47" w14:textId="77777777">
        <w:trPr>
          <w:trHeight w:val="523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A9B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Посада, прізвище, ім’я, по батькові відповідальної за реалізацію проекту особи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B9D4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заступник міського голови - Білецький Данило Михайлович</w:t>
            </w:r>
          </w:p>
        </w:tc>
      </w:tr>
      <w:tr w:rsidR="00475064" w14:paraId="6876B45E" w14:textId="77777777">
        <w:trPr>
          <w:trHeight w:val="120"/>
        </w:trPr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74A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відповідальної за реалізацію проекту особи</w:t>
            </w:r>
          </w:p>
        </w:tc>
        <w:tc>
          <w:tcPr>
            <w:tcW w:w="4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E6AF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+38(066)-283-82-68, danilobileckij0@gmail.com</w:t>
            </w:r>
          </w:p>
        </w:tc>
      </w:tr>
    </w:tbl>
    <w:p w14:paraId="2CF27076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BD1317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br w:type="page"/>
      </w:r>
    </w:p>
    <w:p w14:paraId="536275F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II. ЗМІСТ ПРОЕКТУ</w:t>
      </w:r>
    </w:p>
    <w:tbl>
      <w:tblPr>
        <w:tblStyle w:val="af8"/>
        <w:tblW w:w="9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271"/>
        <w:gridCol w:w="992"/>
      </w:tblGrid>
      <w:tr w:rsidR="00475064" w14:paraId="68456DDA" w14:textId="77777777" w:rsidTr="00F624F7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5494A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5ED83B5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Реєстраційна картка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693C9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стор.1</w:t>
            </w:r>
          </w:p>
        </w:tc>
      </w:tr>
      <w:tr w:rsidR="00475064" w14:paraId="7922F624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94229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000690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CB024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стор.3</w:t>
            </w:r>
          </w:p>
        </w:tc>
      </w:tr>
      <w:tr w:rsidR="00475064" w14:paraId="05979F75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9C48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20650A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0108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стор.4</w:t>
            </w:r>
          </w:p>
        </w:tc>
      </w:tr>
      <w:tr w:rsidR="00475064" w14:paraId="1C4AE602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D01C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67C9101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Анотація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7A5CE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стор.4</w:t>
            </w:r>
          </w:p>
        </w:tc>
      </w:tr>
      <w:tr w:rsidR="00475064" w14:paraId="2B34998A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66974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AC602E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 опис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6AA47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стор.6</w:t>
            </w:r>
          </w:p>
        </w:tc>
      </w:tr>
      <w:tr w:rsidR="00475064" w14:paraId="69462636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F305F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5538D5D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проблеми, на вирішення якої спрямовано проект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7024F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стор.6</w:t>
            </w:r>
          </w:p>
        </w:tc>
      </w:tr>
      <w:tr w:rsidR="00475064" w14:paraId="6C9B4EB5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34DEB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5E5072B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і завдання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D895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475064" w14:paraId="5E0EEB75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27701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D04D3D7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заходи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3FA7A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475064" w14:paraId="3F646587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6BE02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E82897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План-графік реалізації заходів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E1541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475064" w14:paraId="730213EC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97BE1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1D644E3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показники результативності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19C0B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стор.10</w:t>
            </w:r>
          </w:p>
        </w:tc>
      </w:tr>
      <w:tr w:rsidR="00475064" w14:paraId="0C5C50D6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C34BD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C40F10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Інновації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6BCB1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стор.11</w:t>
            </w:r>
          </w:p>
        </w:tc>
      </w:tr>
      <w:tr w:rsidR="00475064" w14:paraId="0DF1CA2D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95DCC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C43E9F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7314C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стор.11</w:t>
            </w:r>
          </w:p>
        </w:tc>
      </w:tr>
      <w:tr w:rsidR="00475064" w14:paraId="10362C3D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E5E1B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10FDF67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бюджет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FA2A5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стор.11</w:t>
            </w:r>
          </w:p>
        </w:tc>
      </w:tr>
      <w:tr w:rsidR="00475064" w14:paraId="7F989082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4BD1B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CB8294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 бюджету за статтями видатків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134DB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стор.11</w:t>
            </w:r>
          </w:p>
        </w:tc>
      </w:tr>
      <w:tr w:rsidR="00475064" w14:paraId="24B5F8C5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CCC2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961D90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джерела фінансування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D0A77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стор.12</w:t>
            </w:r>
          </w:p>
        </w:tc>
      </w:tr>
      <w:tr w:rsidR="00475064" w14:paraId="6198CCDF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15644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3B5A36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 вартості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B9B7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стор.12</w:t>
            </w:r>
          </w:p>
        </w:tc>
      </w:tr>
      <w:tr w:rsidR="00475064" w14:paraId="65F5EBD2" w14:textId="77777777" w:rsidTr="00F624F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F8654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D51F53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39F196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4B972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B224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ECFE6A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III. ПРОЕКТ</w:t>
      </w:r>
    </w:p>
    <w:p w14:paraId="38D03FC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Анотація проекту</w:t>
      </w:r>
    </w:p>
    <w:p w14:paraId="282A9F3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 з першочергових проблем сьогодення в Україні є проблема погіршення здоров'я нації. Виняткову роль у її розв'язанні відіграє фізичне виховання, заняття спортом, які водночас є важливим засобом формування особистості. У зв'язку з екологічною й демогра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фічною ситуацією, стан здоров'я населення катастрофічно погіршується.</w:t>
      </w:r>
    </w:p>
    <w:p w14:paraId="062ABB2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Особливої уваги потребує підтримка здоров’я дітей і молоді, мотивація населення різного віку до занять фізичною культурою і спортом, збільшення кількості учнів у спортивних гуртках, секц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іях.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 сприяють заходи, спрямовані на популяризацію здорового способу життя  і спорту загалом.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Одними з таких заходів є проведення  капітального ремонту багатофункціонального спортивного комплексу «Хотинська дитячо-юнацька спортивна школа».</w:t>
      </w:r>
    </w:p>
    <w:p w14:paraId="305992A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зників бюджету та вартості виконання робіт з ремонту залів спортивного комплексу, замін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підлоги у залах, тепломережі, вікон та дверей, реставраці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фасаду та покрівлі будівлі, а також модернізація адміністративних приміщень та кімнат для проживання спортсм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енів за рахунок бюджету Хотинської міської територіальної громади є значним навантаженням на бюджет громади і не може бути виконано без значного зменшення витрат на інші статті бюджету.</w:t>
      </w:r>
    </w:p>
    <w:p w14:paraId="775C6E0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Основною проблемою  залишається  відсутність сучасної спортивної бази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систематичних занять фізичною культурою і спортом учнів, молоді та в загальному населення Хотинської міської ТГ, сусідніх громад та загалом району. Проведення капітального ремонту багатофункціонального спортивного комплексу «Хотинська дитячо-юнацька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ортивна школа» стане першим кроком  для підвищення  рівня фізичної підготовленості учнів, активного дозвілля мешканців громади та району.</w:t>
      </w:r>
    </w:p>
    <w:p w14:paraId="2FF50BE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пропонуються наступні заходи:</w:t>
      </w:r>
    </w:p>
    <w:p w14:paraId="66D7952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заміна підлоги у спортивних залах закладу; </w:t>
      </w:r>
    </w:p>
    <w:p w14:paraId="778113D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заміна тепломережі, вікон та дв</w:t>
      </w:r>
      <w:r>
        <w:rPr>
          <w:rFonts w:ascii="Times New Roman" w:eastAsia="Times New Roman" w:hAnsi="Times New Roman" w:cs="Times New Roman"/>
          <w:sz w:val="28"/>
          <w:szCs w:val="28"/>
        </w:rPr>
        <w:t>ерей у закладі; </w:t>
      </w:r>
    </w:p>
    <w:p w14:paraId="2DE3EF4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реставрація/реконструкція фасаду та покрівлі закладу; </w:t>
      </w:r>
    </w:p>
    <w:p w14:paraId="1C60847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модернізації адміністративних приміщень та кімнат для проживання спортсменів.</w:t>
      </w:r>
    </w:p>
    <w:p w14:paraId="3DC5954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Наступним шляхом: </w:t>
      </w:r>
    </w:p>
    <w:p w14:paraId="5FFBACE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розміщення  оголошення  в системі  публічних електронних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ProZorro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255FB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отримання декларації про початок робіт; </w:t>
      </w:r>
    </w:p>
    <w:p w14:paraId="15D650C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укладення договору з підрядною організацією  на проведення  робіт;</w:t>
      </w:r>
    </w:p>
    <w:p w14:paraId="59E636A3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проведення ремонтно-будівельних робіт;</w:t>
      </w:r>
    </w:p>
    <w:p w14:paraId="6FCB0293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отримання актів викон</w:t>
      </w:r>
      <w:r>
        <w:rPr>
          <w:rFonts w:ascii="Times New Roman" w:eastAsia="Times New Roman" w:hAnsi="Times New Roman" w:cs="Times New Roman"/>
          <w:sz w:val="28"/>
          <w:szCs w:val="28"/>
        </w:rPr>
        <w:t>аних робіт та оплати їх;</w:t>
      </w:r>
    </w:p>
    <w:p w14:paraId="5A2EA8C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отримання декларації про закінчення робіт.</w:t>
      </w:r>
    </w:p>
    <w:p w14:paraId="4B0EB3C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також:</w:t>
      </w:r>
    </w:p>
    <w:p w14:paraId="0E1414C4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інформування населення громади через ЗМІ про реалізацію проекту;</w:t>
      </w:r>
    </w:p>
    <w:p w14:paraId="336D6883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проведення спортивних заходів в оновленому багатофункціональному спортивному комплексі «Хотинська дитячо-юна</w:t>
      </w:r>
      <w:r>
        <w:rPr>
          <w:rFonts w:ascii="Times New Roman" w:eastAsia="Times New Roman" w:hAnsi="Times New Roman" w:cs="Times New Roman"/>
          <w:sz w:val="28"/>
          <w:szCs w:val="28"/>
        </w:rPr>
        <w:t>цька спортивна школа».</w:t>
      </w:r>
    </w:p>
    <w:p w14:paraId="074F441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Очікувані результати  проекту:</w:t>
      </w:r>
    </w:p>
    <w:p w14:paraId="06F4837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залучення шкільної молоді до занять фізичною культурою і спортом та їх відволікання від «вулиці»;</w:t>
      </w:r>
    </w:p>
    <w:p w14:paraId="6D646D4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залучення максимально можливого числа дітей і підлітків до систематичних занять спортом;</w:t>
      </w:r>
    </w:p>
    <w:p w14:paraId="40C04E93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розвиток фізичних і моральних здібностей, досягнення високого рівня спортивних результатів;</w:t>
      </w:r>
    </w:p>
    <w:p w14:paraId="2C932FE6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покращення стану здоров'я населення громади (підвищення імунітету,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передження захворювань, підтримка високої працездатності) за рахунок підвищення доступності та якості занять фізичною культурою і спортом;</w:t>
      </w:r>
    </w:p>
    <w:p w14:paraId="25A163D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формування, у вихованців спортивної школи, певних навичок, умінь, розвиток у них індивідуальних здібностей в обрано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 виді спорту й досягнення високих спортивних результатів;</w:t>
      </w:r>
    </w:p>
    <w:p w14:paraId="3B81294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розвиток фізичної культури і спорту та пропаганда здорового способу життя серед населення Хотинської міської  територіальної громади та Хотинського району;</w:t>
      </w:r>
    </w:p>
    <w:p w14:paraId="65190BF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покращення спортивної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громади;</w:t>
      </w:r>
    </w:p>
    <w:p w14:paraId="0CEBE82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підвищення рівня енергозбереження та енергоефективності багатофункціонального спортивного комплексу «Хотинська дитячо-юнацька спортивна школа»;</w:t>
      </w:r>
    </w:p>
    <w:p w14:paraId="51360492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підвищення якості проведення спортивних заходів різного рівня на базі багатофункціонального спорти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вного комплексу «Хотинська дитячо-юнацька спортивна школа»;</w:t>
      </w:r>
    </w:p>
    <w:p w14:paraId="205A3E2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створення комфортних умов проживання в житлових кімнатах для спортсменів, які приїжджають на змагання в багатофункціональний спортивний комплекс «Хотинська дитячо-юнацька спортивна школа».</w:t>
      </w:r>
    </w:p>
    <w:p w14:paraId="410FA50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 вартість проекту</w:t>
      </w:r>
      <w:r>
        <w:rPr>
          <w:rFonts w:ascii="Times New Roman" w:eastAsia="Times New Roman" w:hAnsi="Times New Roman" w:cs="Times New Roman"/>
          <w:sz w:val="28"/>
          <w:szCs w:val="28"/>
        </w:rPr>
        <w:t>: 11909,78  тис. грн.</w:t>
      </w:r>
    </w:p>
    <w:p w14:paraId="103ADA3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Прогнозовані джерела фінансування: загальний бюджет проекту в 2021 році складає 11909,78 тис. грн., у т. ч. за рахунок коштів державного фонду регіонального розвитку 10718,802 тис. грн. (90%), бюджету громади – 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0,978 тис. грн. (10%). </w:t>
      </w:r>
    </w:p>
    <w:p w14:paraId="3CD2D75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проект відповідає Стратегії розвитку Чернівецької області на період до 2027 року: Стратегічна ціль 4 «Розвиток людського капіталу як основа соціально-економічного зростання», оперативна ціль 4.3. «Створення сприятливих умов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розвитку культури, молодіжної політики та спорту», завдання: 4.3.2. «Створення умов соціального та правового захисту інтересів молоді», 4.3.3. «Розвиток спортивної інфраструктури».</w:t>
      </w:r>
    </w:p>
    <w:p w14:paraId="7F9CBAA9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AB1E83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Детальний опис проекту.</w:t>
      </w:r>
    </w:p>
    <w:p w14:paraId="56268BE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Опис проблеми, на розв’язання якої спрямовано проект.</w:t>
      </w:r>
    </w:p>
    <w:p w14:paraId="1FD100E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Хотинська міська  територіальна громада (далі - Хотинська ТГ) утворена 23 грудня 2018 року. До складу громади входить 11 населених пунктів. Загальна кількість населення Хотинської міської об’єднаної територіальної громади становить – 18456 осіб.</w:t>
      </w:r>
    </w:p>
    <w:p w14:paraId="301D0A7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Хотинська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ТГ має досить розвинену інфраструктуру: об’єкти освіти, охорони здоров’я, соціальної сфери, широку мережу підприємств торгівлі та сфери послуг. Усі населенні пункти громади газифіковані, забезпечені інженерними мережами, лініями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зв’язку.</w:t>
      </w:r>
    </w:p>
    <w:p w14:paraId="652761E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громаді наявний потенціал кваліфікованої робочої сили та управлінського персоналу. Досить розвинена банківська мережа. Здійснюється підтримка і стимулювання участі як вітчизняних, так і іноземних інвесторів, які вкладають кошти в розвиток економічного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тенціалу регіону, зайнятості населення.</w:t>
      </w:r>
    </w:p>
    <w:p w14:paraId="32E4B41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зазначити, що в Хотинській ТГ приділяється досить велика увага розвитку фізичної культури та спорту. Проводиться робота по забезпеченню інфраструктури спортивно-оздоровчої бази. Багатофункціональний спортивний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«Хотинська дитячо-юнацька спортивна школа» відіграє ключову роль в даному напрямі розвитку.</w:t>
      </w:r>
    </w:p>
    <w:p w14:paraId="0ADE8F6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була створена в 1958 році. Основною її базою були спортивні зали загальноосвітніх шкіл та пристосований зал колишнього польського костьолу. У 1989 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 ініціативи начальника відділу освіти та директора ДЮСШ, господарським методом розпочалось будівництво нового спортивного комплексу. На будівництво коштів не вистачало і тоді на допомогу відгукнулись всі організації міста і вже у 1995 році було побудова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та здано в експлуатацію нове приміщення ДЮСШ. Після реконструкції школи у 1995 році було створено фізкультурно-оздоровчий спортивний комплекс, у 1997 році була змінена на дитячо-юнацький фізкультурно-спортивний комплекс. У 2005 році була проведена реорг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анізація на дитячо-юнацьку спортивну школу.</w:t>
      </w:r>
    </w:p>
    <w:p w14:paraId="17305E94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дала путівку в життя багатьом майстрам спорту, кандидатам в майстри спорту, заслуженим тренерам України, членам збірних команд України.</w:t>
      </w:r>
    </w:p>
    <w:p w14:paraId="35A9066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існування спортивної школи вихованці показують високі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результати, випускники спортивної школи неодноразово ставали чемпіонами: спартакіади школярів СРСР, України, Європи; призерами Олімпійських ігор. Серед яких є багато членів збірних команд України та області. </w:t>
      </w:r>
    </w:p>
    <w:p w14:paraId="3068089E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час існування школи підготовлено: 15 майст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 спорту; 18 кандидатів в майстри спорту; 4 випускників спортивної школи отримали звання Заслужений тренер України. На даний час на базі школи тренується член збірної команди України з легкої атлетики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Олег.</w:t>
      </w:r>
    </w:p>
    <w:p w14:paraId="221F75C2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Хотинській ДЮСШ постійно проводяться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різноманітні турніри, спортивні змагання, як місцевого так і обласного, українського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всеукраїнського рівнів. Традиційними стали змагання, які проводяться відділеннями з видів спорту:</w:t>
      </w:r>
    </w:p>
    <w:p w14:paraId="2BF55D9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відділення гандболу: міжнародний турнір «Хотинська фортеця», всеукр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аїнський турнір пам’яті загиблих воїнів-героїв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Хотинщини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АТО; всеукраїнський турнір на честь ЗТУ Ф.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13E94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відділення баскетболу: міжобласний турнір до Дня міста, відкрита першість ДЮСШ присвяченому Дню Перемоги;</w:t>
      </w:r>
    </w:p>
    <w:p w14:paraId="39E8516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відділення легкої атлетики: 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жобласний турнір «Кубок Надій»; зимова відкрита першість ДЮСШ;</w:t>
      </w:r>
    </w:p>
    <w:p w14:paraId="2088DBAE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відділення футболу: міжнародний турнір Героя України, першого космонавта України Л. Каденюка; турнір пам’яті героям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Хотинщини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полеглим в Афганістані; відкриті першості ДЮСШ різних вікових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п;</w:t>
      </w:r>
    </w:p>
    <w:p w14:paraId="3D60593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відділенні боксу: міжнародний турнір з боксу «Кубок Гетьманів».</w:t>
      </w:r>
    </w:p>
    <w:p w14:paraId="344B2C8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Слід зауважити, що багатофункціональний спортивний комплекс є основною базою навчально-тренувальних занять 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видів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учнів шкіл Хотинської та сусідніх громад бувшого Хотинськог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району, а також студентів Хотинського коледжу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Ставчанського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професійного ліцею. На базі Хотинської ДЮСШ навчається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410 учнів у 31 навчальній групі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F834E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Багатофункціональний спортивний комплекс складається з трьох спортивних залів розмірами: 9х16м; 12х24м; 24х36м, адміністративних приміщень, кімнат для проживання спортсменів під час проведення регіональних, всеукраїнських та міжнародних спортивних змагань,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також навчально-тренувальних зборів спортивних команд (на 60 осіб), крім того функціонують роздягальні,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басейн та сауна. Загальна потужність складає 600 глядацьких місць. На базі Хотинської ДЮСШ проводять Всеукраїнські та  міжнародні змагання;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ехнічні характеристики багатофункціонального спортивного комплексу дозволяють проводити навчально-тренувальні збори для національних збірних команд з гандболу, баскетболу, волейболу, боксу, боротьби, легкої атлетики.</w:t>
      </w:r>
    </w:p>
    <w:p w14:paraId="4713219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 зазначити, що займатись спортом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можуть не лише вихованці спортивних секцій та гуртків спортивної школи, а будь-хто бажаючий. Спортивні зали школи у вільний від навчального процесу час надаються в орендне користування. ДЮСШ в районі є єдиним спортивним закладом для учнів та інших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телів громади та району, який працює без вихідних та святкових днів з 09:00 год. до 22:00 год.</w:t>
      </w:r>
    </w:p>
    <w:p w14:paraId="43FB9DB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зважаючи на значні здобутки, Хотинська ДЮСШ не може повністю вирішити проблему забезпечення можливості для дітей та молоді вести здоровий спосіб життя і 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матично займатись спортом.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26DED18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Основною причиною цьому є фізичний знос майна школи, який став наслідком того, що протягом останніх 25 років у будівлі спортивної школи не проводились капітальні ремонти. Час від часу виконувались певні поточні ремонтні роботи, тож наразі вкрай важливо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капітальний ремонт з метою збереження та подальшого ефективного функціонування ДЮСШ - бази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тренувань для спортсменів Хотинської та сусідньої громад, які представляють Україну на змаганнях різного рівня.</w:t>
      </w:r>
    </w:p>
    <w:p w14:paraId="4D19ADB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сьогоднішній день вкрай важливим є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капітальних робіт  у багатофункціональному спортивному комплексі «Хотинська дитячо-юнацька спортивна школа»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саме: заміна підлоги у залах, тепломережі, вікон та дверей. Не менш важливим є реставрація фасаду та покрівлі будівлі, а також модернізація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іністративних приміщень та кімнат для проживання спортсменів.</w:t>
      </w:r>
    </w:p>
    <w:p w14:paraId="6D29443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капітальний ремонту багатофункціонального спортивного комплексу «Хотинська дитячо-юнацька спортивна школа» стане суттєвим фундаментом створення єдиного освітнього та спортивно-розвива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ючого простору, забезпечення умов для розвитку масових та індивідуальних форм фізкультурно-оздоровчої та спортивної роботи через залучення максимально можливої кількості дітей та молоді  Хотинської міської ТГ та району.</w:t>
      </w:r>
    </w:p>
    <w:p w14:paraId="632B589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допоможе, зокрема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кожній дитині та в загальному жителям Хотинської міської територіальної громади, сусідніх громад та району безпечно займатися улюбленими видами спорту в холодну пору року, як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фізкультури, у спортивних секціях та гуртках, так і у вільний час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 процесу, на умовах оренди, всім бажаючим. Також даний проект дозволить підвищити духовне, моральне та фізичне виховання підростаючого покоління громади, що стане суттєвою інвестицією в наше спільне майбутнє.</w:t>
      </w:r>
    </w:p>
    <w:p w14:paraId="10F3361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проекту відповідає Стратегі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розвитку Чернівецької області на період до 2027 року.</w:t>
      </w:r>
    </w:p>
    <w:p w14:paraId="5D6F970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економічному аспекті реалізація проекту дозволить забезпечити подальше функціонування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багатофункціонального спортивного комплексу «Хотинська дитячо-юнацька спортивна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 надання доступу до якісного фізичного виховання молоді та дітей шкільного віку Хотинської міської ТГ, сусідніх громад та району в загальному. А проведення заходів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енергозбереженню (заміна дверей та вікон, тепломережі) дозволить суттєво зекономити кошти бюджету Хотинської громади, які виділятимуться на оплату послуг за теплопостачання, енергоресурсів.</w:t>
      </w:r>
    </w:p>
    <w:p w14:paraId="1D02C77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Економічна ефективність проекту буде виражатися в економії коштів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бюджету громади, які будуть спрямовані на впровадження інших заходів та проектів розвитку громади. </w:t>
      </w:r>
    </w:p>
    <w:p w14:paraId="0EAB99E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результаті реалізації проекту, з’явиться можливість у вільний від навчального процесу та змагань час надавати в оренду оновлені спортивні зали; надавати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атеріально-технічну базу закладу для проведення спортивно-масових заходів; послугами «готелю» зможуть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скористатися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лише учасники спортивно-масових заходів, а й гості та туристи громади. Все це дасть змогу отримати позабюджетні надходження на подальший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озвиток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багатофункціонального спортивного комплексу «Хотинська дитячо-юнацька спортивна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683BA25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Цільова група проекту:</w:t>
      </w:r>
    </w:p>
    <w:p w14:paraId="52D077C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410 вихованців ДЮСШ;</w:t>
      </w:r>
    </w:p>
    <w:p w14:paraId="22906E74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9 тренерів-викладачів спортивної школи;</w:t>
      </w:r>
    </w:p>
    <w:p w14:paraId="19EA2B7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13 працівників обслуговуючого персоналу.</w:t>
      </w:r>
    </w:p>
    <w:p w14:paraId="4792271B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Опосередкована цільова група:</w:t>
      </w:r>
    </w:p>
    <w:p w14:paraId="4CF31D76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 та рідні учнів - понад 600 осіб;</w:t>
      </w:r>
    </w:p>
    <w:p w14:paraId="25BE0BD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жителі Хотинської міської ТГ, сусідніх громад та району - понад 10000 осіб.</w:t>
      </w:r>
    </w:p>
    <w:p w14:paraId="06D9E884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0B9D183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3A78C52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Мета і завдання проекту</w:t>
      </w:r>
    </w:p>
    <w:p w14:paraId="6DBEF7D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належних сучасних умов для проведення тренувань, змагань регіонального, всеукраїнського та міжнародного рівня  у Хотинській дитячо-юнацькій спортивній школі.</w:t>
      </w:r>
    </w:p>
    <w:p w14:paraId="5236A29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 проекту є:</w:t>
      </w:r>
    </w:p>
    <w:p w14:paraId="15091AC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покращення умов для здійснення навчання та занять спортом;</w:t>
      </w:r>
    </w:p>
    <w:p w14:paraId="19562C6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оптимізація споживання ресурсів та економія коштів бюджету;</w:t>
      </w:r>
    </w:p>
    <w:p w14:paraId="19F21D8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активізація роботи секцій і гуртків спортивного спрямування;</w:t>
      </w:r>
    </w:p>
    <w:p w14:paraId="78644B3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формування позитивної мотивації на здоровий спосіб життя;</w:t>
      </w:r>
    </w:p>
    <w:p w14:paraId="3AA56DA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збереження і зміцнення здоров’я дітей, молоді та представників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76C1A7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зростання активності батьків і громадськості у спільній роботі щодо формування здорового способу життя у жителів громади;</w:t>
      </w:r>
    </w:p>
    <w:p w14:paraId="094165E3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підвищення ефективності використання матеріальної бази спортивної школи для формування компетентного ставлення до власного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ров’я учнів, молоді, представників громади.</w:t>
      </w:r>
    </w:p>
    <w:p w14:paraId="2CEE70BC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267A9C6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Основні заходи проекту</w:t>
      </w:r>
    </w:p>
    <w:p w14:paraId="6DE8E3B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реалізації проекту необхідно впровадити наступні основні заходи:</w:t>
      </w:r>
    </w:p>
    <w:p w14:paraId="1A752566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тендерних торгів, укладання договорів;</w:t>
      </w:r>
    </w:p>
    <w:p w14:paraId="1B2870D4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заміна підлоги у спортивних залах закладу; </w:t>
      </w:r>
    </w:p>
    <w:p w14:paraId="797D4662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заміна тепломережі, вікон та дверей у закладі; </w:t>
      </w:r>
    </w:p>
    <w:p w14:paraId="560227D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реставрація/реконструкція фасаду та покрівлі закладу; </w:t>
      </w:r>
    </w:p>
    <w:p w14:paraId="2BBF684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модернізації адміністративних приміщень та кімнат для проживання спортсменів;</w:t>
      </w:r>
    </w:p>
    <w:p w14:paraId="690F56D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інформування населенн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громади через засоби масової інформації про реалізацію проекту;</w:t>
      </w:r>
    </w:p>
    <w:p w14:paraId="0C8325B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проведення спортивних заходів в оновленому багатофункціональному спортивному комплексі «Хотинська дитячо-юнацька спортивна школа».</w:t>
      </w:r>
    </w:p>
    <w:p w14:paraId="1E49918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План-графік реалізації заходів проекту</w:t>
      </w:r>
    </w:p>
    <w:tbl>
      <w:tblPr>
        <w:tblStyle w:val="af9"/>
        <w:tblW w:w="9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7"/>
        <w:gridCol w:w="2280"/>
        <w:gridCol w:w="2139"/>
      </w:tblGrid>
      <w:tr w:rsidR="00475064" w14:paraId="28D348D0" w14:textId="77777777">
        <w:trPr>
          <w:trHeight w:val="440"/>
        </w:trPr>
        <w:tc>
          <w:tcPr>
            <w:tcW w:w="54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B18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4419" w:type="dxa"/>
            <w:gridSpan w:val="2"/>
          </w:tcPr>
          <w:p w14:paraId="238828F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реалізації</w:t>
            </w:r>
          </w:p>
          <w:p w14:paraId="3998752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червень 2022 р. - жовтень 2023 р.)</w:t>
            </w:r>
          </w:p>
        </w:tc>
      </w:tr>
      <w:tr w:rsidR="00475064" w14:paraId="085B91B6" w14:textId="77777777">
        <w:trPr>
          <w:trHeight w:val="440"/>
        </w:trPr>
        <w:tc>
          <w:tcPr>
            <w:tcW w:w="54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1FC4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80" w:type="dxa"/>
          </w:tcPr>
          <w:p w14:paraId="42D871A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рік</w:t>
            </w:r>
          </w:p>
        </w:tc>
        <w:tc>
          <w:tcPr>
            <w:tcW w:w="2139" w:type="dxa"/>
          </w:tcPr>
          <w:p w14:paraId="048BF5A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рік</w:t>
            </w:r>
          </w:p>
        </w:tc>
      </w:tr>
      <w:tr w:rsidR="00475064" w14:paraId="2AF6DB00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B3A2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Проведення тендерних торгів, укладання договорів</w:t>
            </w:r>
          </w:p>
        </w:tc>
        <w:tc>
          <w:tcPr>
            <w:tcW w:w="2280" w:type="dxa"/>
          </w:tcPr>
          <w:p w14:paraId="4285106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 - серпень 2022 р.</w:t>
            </w:r>
          </w:p>
          <w:p w14:paraId="05D28B32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932BFD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064" w14:paraId="4694BF22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4985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Заміна тепломережі, вікон та дверей у закладі</w:t>
            </w:r>
          </w:p>
        </w:tc>
        <w:tc>
          <w:tcPr>
            <w:tcW w:w="2280" w:type="dxa"/>
          </w:tcPr>
          <w:p w14:paraId="32DD47D6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серпень - жовтень 2022 р.</w:t>
            </w:r>
          </w:p>
          <w:p w14:paraId="6E19B262" w14:textId="77777777" w:rsidR="00475064" w:rsidRDefault="00475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ADD4B0A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064" w14:paraId="24E3AC1E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68F9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Реставрація/реконструкція фасаду та покрівлі закладу</w:t>
            </w:r>
          </w:p>
        </w:tc>
        <w:tc>
          <w:tcPr>
            <w:tcW w:w="2280" w:type="dxa"/>
          </w:tcPr>
          <w:p w14:paraId="5A48E854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серпень - листопад 2022 р.</w:t>
            </w:r>
          </w:p>
          <w:p w14:paraId="3A05D07B" w14:textId="77777777" w:rsidR="00475064" w:rsidRDefault="00475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C1BE317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064" w14:paraId="0A83E31D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CEAB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Заміна підлоги у спортивних залах закладу</w:t>
            </w:r>
          </w:p>
        </w:tc>
        <w:tc>
          <w:tcPr>
            <w:tcW w:w="2280" w:type="dxa"/>
          </w:tcPr>
          <w:p w14:paraId="635B52CE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жовтень -  грудень 2022 р.</w:t>
            </w:r>
          </w:p>
          <w:p w14:paraId="41849D20" w14:textId="77777777" w:rsidR="00475064" w:rsidRDefault="00475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78CAADF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-</w:t>
            </w:r>
          </w:p>
        </w:tc>
      </w:tr>
      <w:tr w:rsidR="00475064" w14:paraId="2BFD4669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888F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Модернізації адміністративних приміщень та кімнат для проживання спортсменів</w:t>
            </w:r>
          </w:p>
        </w:tc>
        <w:tc>
          <w:tcPr>
            <w:tcW w:w="2280" w:type="dxa"/>
          </w:tcPr>
          <w:p w14:paraId="75FF923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</w:tcPr>
          <w:p w14:paraId="68983D23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січень - квітень 2023 р.</w:t>
            </w:r>
          </w:p>
          <w:p w14:paraId="336E5D47" w14:textId="77777777" w:rsidR="00475064" w:rsidRDefault="00475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5064" w14:paraId="56EF3C28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E6EA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Інформування населення громади через засоби масової інформації про реалізацію проекту</w:t>
            </w:r>
          </w:p>
        </w:tc>
        <w:tc>
          <w:tcPr>
            <w:tcW w:w="4419" w:type="dxa"/>
            <w:gridSpan w:val="2"/>
          </w:tcPr>
          <w:p w14:paraId="6EE15E65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на постійній основі в період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проєкту</w:t>
            </w:r>
            <w:proofErr w:type="spellEnd"/>
          </w:p>
        </w:tc>
      </w:tr>
      <w:tr w:rsidR="00475064" w14:paraId="03A04022" w14:textId="77777777">
        <w:trPr>
          <w:trHeight w:val="495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A0ED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спортивних заходів в оновленому багатофункціональному спортивному комплексі «Хотинська дитячо-юнацька спортивна школа»</w:t>
            </w:r>
          </w:p>
        </w:tc>
        <w:tc>
          <w:tcPr>
            <w:tcW w:w="2280" w:type="dxa"/>
          </w:tcPr>
          <w:p w14:paraId="61A1682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</w:tcPr>
          <w:p w14:paraId="0824B77F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травень - вересень 2023 р.</w:t>
            </w:r>
          </w:p>
        </w:tc>
      </w:tr>
      <w:tr w:rsidR="00475064" w14:paraId="3004E7D0" w14:textId="77777777">
        <w:trPr>
          <w:trHeight w:val="287"/>
        </w:trPr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649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Подання звітності по реалізації проекту</w:t>
            </w:r>
          </w:p>
        </w:tc>
        <w:tc>
          <w:tcPr>
            <w:tcW w:w="2280" w:type="dxa"/>
          </w:tcPr>
          <w:p w14:paraId="7C02DF4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</w:tcPr>
          <w:p w14:paraId="153BBE6C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вересень - жовтень 2023 р.</w:t>
            </w:r>
          </w:p>
        </w:tc>
      </w:tr>
    </w:tbl>
    <w:p w14:paraId="473DE157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BFAAB16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Кількісні та якісні показники результативності проекту</w:t>
      </w:r>
    </w:p>
    <w:p w14:paraId="4A8234B9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Очікувані кількісні результати:</w:t>
      </w:r>
    </w:p>
    <w:p w14:paraId="002D6CD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понад 1000 осіб, зокрема дітей та молоді Хотинської міської ТГ та сусідніх громад будуть залучені до занять фізичною культурою і спортом у багатофункціональному спортивному комплексі «Хотинська дитячо-юнацька спортивна школа»;</w:t>
      </w:r>
    </w:p>
    <w:p w14:paraId="69B5EA9E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протягом року більше 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осіб, у тому числі 410 учнів-спортсменів буде забезпечено належними умовами для тренувань, проведення спортивно-масових заходів;</w:t>
      </w:r>
    </w:p>
    <w:p w14:paraId="02F6A02C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введено в експлуатацію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оновлених спортивних зали круглорічного функціонування із сучасною матеріально-технічною базою;</w:t>
      </w:r>
    </w:p>
    <w:p w14:paraId="4A6B61A5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введено в експлуатацію “готель” для проживання спортсменів (згідно ПКД).</w:t>
      </w:r>
    </w:p>
    <w:p w14:paraId="148DD07C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F83F1D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Очікувані якісні результати:</w:t>
      </w:r>
    </w:p>
    <w:p w14:paraId="23E1F2A4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залучення шкільної молоді до занять фізичною культурою і спортом та їх відволікання від «вулиці»;</w:t>
      </w:r>
    </w:p>
    <w:p w14:paraId="2E264B2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залучення максимально можливого числа дітей і підлітків до систематичних занять спортом;</w:t>
      </w:r>
    </w:p>
    <w:p w14:paraId="0E1D0AC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розвиток фізичних і моральних здібностей, досягнення високого рівня спортивних результатів;</w:t>
      </w:r>
    </w:p>
    <w:p w14:paraId="0B3258D2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покращення стану здоров'я населення громади (підвищення імунітету,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передження захворювань, підтримка високої працездатності) за рахунок підвищення доступності та якості занять фізичною культурою і спортом;</w:t>
      </w:r>
    </w:p>
    <w:p w14:paraId="25862770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- формування, у вихованців спортивної школи, певних навичок, умінь, розвиток у них індивідуальних здібностей в обрано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 виді спорту й досягнення високих спортивних результатів;</w:t>
      </w:r>
    </w:p>
    <w:p w14:paraId="26A3C18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розвиток фізичної культури і спорту та пропаганда здорового способу життя серед населення Хотинської міської  територіальної громади та Хотинського району;</w:t>
      </w:r>
    </w:p>
    <w:p w14:paraId="73449A6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покращення спортивної інфраструктури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громади;</w:t>
      </w:r>
    </w:p>
    <w:p w14:paraId="29E4685E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підвищення рівня енергозбереження та енергоефективності багатофункціонального спортивного комплексу «Хотинська дитячо-юнацька спортивна школа»;</w:t>
      </w:r>
    </w:p>
    <w:p w14:paraId="3A8496D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підвищення якості проведення спортивних заходів різного рівня на базі багатофункціонального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вного комплексу «Хотинська дитячо-юнацька спортивна школа»;</w:t>
      </w:r>
    </w:p>
    <w:p w14:paraId="0B9CAFBF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створення комфортних умов проживання в житлових кімнатах для спортсменів, які приїжджають на змагання в багатофункціональний спортивний комплекс «Хотинська дитячо-юнацька спортивна школа».</w:t>
      </w:r>
    </w:p>
    <w:p w14:paraId="150EF7D9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14:paraId="7A4701E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2.6.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Інновації проекту</w:t>
      </w:r>
    </w:p>
    <w:p w14:paraId="1121762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проекту полягає у впровадженні комплексу заходів по застосуванню сучасних енергозберігаючих технологій, а саме ремонту спортивних залів, житлових кімнат в спортивній школі з метою зменшення теплових втрат, та створенні такої моделі взаємодії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школи, сім’ї та громади, яка б забезпечувала формування ціннісного ставлення до здоров’я в молоді.</w:t>
      </w:r>
    </w:p>
    <w:p w14:paraId="4BBE91A8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8E6AB8D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БЮДЖЕТ ПРОЕКТУ</w:t>
      </w:r>
    </w:p>
    <w:p w14:paraId="74503209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C801A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ЗАГАЛЬНИЙ БЮДЖЕТ ПРОЕКТУ</w:t>
      </w:r>
    </w:p>
    <w:tbl>
      <w:tblPr>
        <w:tblStyle w:val="afa"/>
        <w:tblW w:w="9969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080"/>
        <w:gridCol w:w="585"/>
        <w:gridCol w:w="810"/>
        <w:gridCol w:w="900"/>
        <w:gridCol w:w="669"/>
        <w:gridCol w:w="810"/>
        <w:gridCol w:w="900"/>
        <w:gridCol w:w="600"/>
        <w:gridCol w:w="810"/>
        <w:gridCol w:w="1095"/>
      </w:tblGrid>
      <w:tr w:rsidR="00475064" w14:paraId="2BF41849" w14:textId="77777777">
        <w:trPr>
          <w:trHeight w:val="6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09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Заходи, що здійснюватимуться за проектом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3E8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(тис. грн)</w:t>
            </w:r>
          </w:p>
        </w:tc>
        <w:tc>
          <w:tcPr>
            <w:tcW w:w="7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F9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Джерела фінансування, тис. грн</w:t>
            </w:r>
          </w:p>
        </w:tc>
      </w:tr>
      <w:tr w:rsidR="00475064" w14:paraId="1B2A0624" w14:textId="77777777">
        <w:trPr>
          <w:trHeight w:val="6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3F9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DED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81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першому бюджетному році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807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другому бюджетному році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8F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третьому бюджетному році</w:t>
            </w:r>
          </w:p>
        </w:tc>
      </w:tr>
      <w:tr w:rsidR="00475064" w14:paraId="368AD9EE" w14:textId="77777777">
        <w:trPr>
          <w:trHeight w:val="6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593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91B7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71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406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54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B9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C5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67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40D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D53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E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</w:tr>
      <w:tr w:rsidR="00475064" w14:paraId="62339125" w14:textId="77777777">
        <w:trPr>
          <w:trHeight w:val="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3B9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Капітальний ремонт багатофункціонального  спортивного комплексу “Хотинська дитячо-юнацька спортивна школа в м. Хотин по вул. Олімпійська, 75” (згідно ПКД)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5E3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11909,78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2D3" w14:textId="5D5F4959" w:rsidR="00475064" w:rsidRPr="00F624F7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8039.106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E7B5" w14:textId="69C5FE39" w:rsidR="00475064" w:rsidRPr="00F624F7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893.234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E74A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E83D" w14:textId="4CB1C099" w:rsidR="00475064" w:rsidRPr="00F624F7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2679.696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448" w14:textId="6B9A2C02" w:rsidR="00475064" w:rsidRPr="00F624F7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297.744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B9DD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6014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E6D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084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24F7" w14:paraId="36702AC3" w14:textId="77777777">
        <w:trPr>
          <w:trHeight w:val="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4F9D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4F7" w14:textId="59809392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11909,78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3C8" w14:textId="34AA3284" w:rsidR="00F624F7" w:rsidRP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8039.106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3781" w14:textId="1ACD8F90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893.234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6A1" w14:textId="0B7A7EF2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3E24" w14:textId="354C70CB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2679.696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901" w14:textId="3CDBD80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297.744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A62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8316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ADFE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E2A8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8254BB1" w14:textId="58FB5ED5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E71E67F" w14:textId="32A47D2A" w:rsidR="00F624F7" w:rsidRDefault="00F624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B6284BA" w14:textId="3D8AD6EC" w:rsidR="00F624F7" w:rsidRDefault="00F624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263DF3F" w14:textId="77777777" w:rsidR="00F624F7" w:rsidRDefault="00F624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D57868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РОЗКЛАД БЮДЖЕТУ ЗА СТАТТЯМИ ВИДАТКІВ</w:t>
      </w:r>
    </w:p>
    <w:tbl>
      <w:tblPr>
        <w:tblStyle w:val="afb"/>
        <w:tblW w:w="10080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990"/>
        <w:gridCol w:w="825"/>
        <w:gridCol w:w="1005"/>
        <w:gridCol w:w="780"/>
        <w:gridCol w:w="795"/>
        <w:gridCol w:w="1005"/>
        <w:gridCol w:w="780"/>
        <w:gridCol w:w="600"/>
        <w:gridCol w:w="1005"/>
        <w:gridCol w:w="780"/>
      </w:tblGrid>
      <w:tr w:rsidR="00475064" w14:paraId="1E6FC552" w14:textId="77777777">
        <w:trPr>
          <w:trHeight w:val="6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DC9D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Статті видатків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3AA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E7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Джерела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</w:tr>
      <w:tr w:rsidR="00475064" w14:paraId="5ACA8DDA" w14:textId="77777777">
        <w:trPr>
          <w:trHeight w:val="6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9ADA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2A7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1E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першому бюджетному році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4F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другому бюджетному році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263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третьому бюджетному році</w:t>
            </w:r>
          </w:p>
        </w:tc>
      </w:tr>
      <w:tr w:rsidR="00475064" w14:paraId="65BF0B38" w14:textId="77777777">
        <w:trPr>
          <w:trHeight w:val="6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D2DE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4CFD" w14:textId="77777777" w:rsidR="00475064" w:rsidRDefault="00475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648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1225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3A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2753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921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53D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BC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ED2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BF7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</w:tr>
      <w:tr w:rsidR="00475064" w14:paraId="024EC415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3E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Видатки споживання: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FE9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9EB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2D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DC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E5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7187801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1DE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3E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CD9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3EC6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03C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064" w14:paraId="3861A65A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F953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89F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9F1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7E5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C1C2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19F3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5D77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E12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A916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94F3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D98" w14:textId="77777777" w:rsidR="00475064" w:rsidRDefault="0047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24F7" w14:paraId="1BA1C0B1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A523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Видатки розвитку: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C69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11909,781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3090" w14:textId="1E33B3BA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8039.106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BE6" w14:textId="71CEDCD1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893.234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7C80" w14:textId="4303AE35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B17" w14:textId="2C034AF5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2679.696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ADB" w14:textId="0713B92F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297.744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B07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04F8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760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A14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24F7" w14:paraId="733E5791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0E75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546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EF2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C74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D01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86B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4750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281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2C7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E621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7805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24F7" w14:paraId="4CF7C4B3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4A57" w14:textId="77777777" w:rsidR="00F624F7" w:rsidRDefault="00F624F7" w:rsidP="00F6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E68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11909,781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43D" w14:textId="37F59BE1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8039.106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BAA" w14:textId="49A6244C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893.234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B3D7" w14:textId="61B8F4B3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9F4" w14:textId="330D11B0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2679.696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03B" w14:textId="3079C2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297.744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20F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65A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31B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F8C1" w14:textId="77777777" w:rsidR="00F624F7" w:rsidRDefault="00F624F7" w:rsidP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841F6E5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9904C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19D0A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22BA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ОЧІКУВАНІ ДЖЕРЕЛА ФІНАНСУВАННЯ</w:t>
      </w:r>
    </w:p>
    <w:p w14:paraId="27106C4C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c"/>
        <w:tblW w:w="9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1381"/>
        <w:gridCol w:w="2566"/>
      </w:tblGrid>
      <w:tr w:rsidR="00475064" w14:paraId="5778AB82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AE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B89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9061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загального обсягу фінансування проекту, %</w:t>
            </w:r>
          </w:p>
        </w:tc>
      </w:tr>
      <w:tr w:rsidR="00475064" w14:paraId="48F695C2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50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Фінансування з ДФРР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249F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10718,802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684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75064" w14:paraId="59599A6C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8F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Фінансування з місцевого бюджету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F59A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1190,978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D0D0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75064" w14:paraId="620C1695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F96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Фінансування за рахунок інших джерел (зазначити)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C6B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9C32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64" w14:paraId="06309E07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4BF7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38C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11909,78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C9E8" w14:textId="77777777" w:rsidR="00475064" w:rsidRDefault="003A1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22B36BB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F62A7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РОЗРАХУНОК ВАРТОСТІ ПРОЕКТУ</w:t>
      </w:r>
    </w:p>
    <w:p w14:paraId="7AD8556A" w14:textId="77777777" w:rsidR="00475064" w:rsidRDefault="0047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51BEEA" w14:textId="23DE45C6" w:rsidR="00475064" w:rsidRDefault="003A1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Документи щодо підтвердження вартості проекту</w:t>
      </w:r>
      <w:r w:rsidR="00F624F7" w:rsidRPr="00F624F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</w:t>
      </w:r>
      <w:r w:rsidR="00F624F7">
        <w:rPr>
          <w:rFonts w:ascii="Times New Roman" w:eastAsia="Times New Roman" w:hAnsi="Times New Roman" w:cs="Times New Roman"/>
          <w:sz w:val="20"/>
          <w:szCs w:val="20"/>
        </w:rPr>
        <w:t>ПКД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15F724" w14:textId="77777777" w:rsidR="00475064" w:rsidRDefault="004750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B6FBA5" w14:textId="77777777" w:rsidR="00475064" w:rsidRDefault="00475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E09B11" w14:textId="77777777" w:rsidR="00475064" w:rsidRDefault="003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br w:type="page"/>
      </w:r>
    </w:p>
    <w:p w14:paraId="5DA9C8DF" w14:textId="77777777" w:rsidR="00475064" w:rsidRDefault="003A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Технічне завдання на інвестиційну програму </w:t>
      </w:r>
    </w:p>
    <w:p w14:paraId="558BE9DA" w14:textId="77777777" w:rsidR="00475064" w:rsidRDefault="003A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регіонального розвитку, що може реалізовуватися </w:t>
      </w:r>
    </w:p>
    <w:p w14:paraId="73973E0A" w14:textId="77777777" w:rsidR="00475064" w:rsidRDefault="003A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рахунок коштів державного фонду регіонального розвитку</w:t>
      </w:r>
    </w:p>
    <w:p w14:paraId="0C33EA6A" w14:textId="77777777" w:rsidR="00475064" w:rsidRDefault="004750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d"/>
        <w:tblW w:w="9391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1088"/>
        <w:gridCol w:w="1118"/>
        <w:gridCol w:w="1133"/>
        <w:gridCol w:w="1056"/>
        <w:gridCol w:w="1410"/>
      </w:tblGrid>
      <w:tr w:rsidR="00475064" w14:paraId="464E4875" w14:textId="77777777">
        <w:trPr>
          <w:trHeight w:val="277"/>
        </w:trPr>
        <w:tc>
          <w:tcPr>
            <w:tcW w:w="3586" w:type="dxa"/>
          </w:tcPr>
          <w:p w14:paraId="3EB4A3D3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Номер технічного завдання</w:t>
            </w:r>
          </w:p>
        </w:tc>
        <w:tc>
          <w:tcPr>
            <w:tcW w:w="5805" w:type="dxa"/>
            <w:gridSpan w:val="5"/>
          </w:tcPr>
          <w:p w14:paraId="32FD9BC9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4.3.3. </w:t>
            </w:r>
          </w:p>
        </w:tc>
      </w:tr>
      <w:tr w:rsidR="00475064" w14:paraId="028F0486" w14:textId="77777777">
        <w:trPr>
          <w:trHeight w:val="202"/>
        </w:trPr>
        <w:tc>
          <w:tcPr>
            <w:tcW w:w="3586" w:type="dxa"/>
          </w:tcPr>
          <w:p w14:paraId="443E938F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 технічного завдання</w:t>
            </w:r>
          </w:p>
        </w:tc>
        <w:tc>
          <w:tcPr>
            <w:tcW w:w="5805" w:type="dxa"/>
            <w:gridSpan w:val="5"/>
          </w:tcPr>
          <w:p w14:paraId="2FAFB3BC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спортивної інфраструктури та створення умов для розвитку молоді</w:t>
            </w:r>
          </w:p>
        </w:tc>
      </w:tr>
      <w:tr w:rsidR="00475064" w14:paraId="07D89D27" w14:textId="77777777">
        <w:tc>
          <w:tcPr>
            <w:tcW w:w="3586" w:type="dxa"/>
          </w:tcPr>
          <w:p w14:paraId="43AD3842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Номер і назва завдання з </w:t>
            </w:r>
            <w:hyperlink r:id="rId8" w:anchor="_blank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 стратегії регіонального розвитку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якому відповідає технічне завдання</w:t>
            </w:r>
          </w:p>
        </w:tc>
        <w:tc>
          <w:tcPr>
            <w:tcW w:w="5805" w:type="dxa"/>
            <w:gridSpan w:val="5"/>
          </w:tcPr>
          <w:p w14:paraId="675422EE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</w:t>
            </w:r>
          </w:p>
          <w:p w14:paraId="21CCE4F9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ІІ. «Підвищення рівня конкурентоспроможності регіонів»</w:t>
            </w:r>
          </w:p>
          <w:p w14:paraId="4C78D622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ціль 1 «Розви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 людського капіталу»</w:t>
            </w:r>
          </w:p>
          <w:p w14:paraId="52BBC099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Завдання за напрямом: «Формування здорової нації та створення належних умов для розвитку системи закладів фізичної культури і спорту, в тому числі для осіб з інвалідністю»</w:t>
            </w:r>
          </w:p>
        </w:tc>
      </w:tr>
      <w:tr w:rsidR="00475064" w14:paraId="132A8285" w14:textId="77777777">
        <w:tc>
          <w:tcPr>
            <w:tcW w:w="3586" w:type="dxa"/>
          </w:tcPr>
          <w:p w14:paraId="1C11A667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Номер і назва завдання з відповідної стратегії розвитку регіону, якому відповідає технічне завдання</w:t>
            </w:r>
          </w:p>
        </w:tc>
        <w:tc>
          <w:tcPr>
            <w:tcW w:w="5805" w:type="dxa"/>
            <w:gridSpan w:val="5"/>
          </w:tcPr>
          <w:p w14:paraId="6C2990F6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відповідає Стратегії розвитку Чернівецької області на період до 2027 року.</w:t>
            </w:r>
          </w:p>
          <w:p w14:paraId="11AB1B84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</w:t>
            </w:r>
          </w:p>
          <w:p w14:paraId="6C4B4B07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 «Створення умов соціального та правового захисту інтересів молоді», </w:t>
            </w:r>
          </w:p>
          <w:p w14:paraId="1F8A2E9A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4.3.3. «Розвиток спортивної інфраструктури»</w:t>
            </w:r>
          </w:p>
        </w:tc>
      </w:tr>
      <w:tr w:rsidR="00475064" w14:paraId="38475C80" w14:textId="77777777">
        <w:tc>
          <w:tcPr>
            <w:tcW w:w="3586" w:type="dxa"/>
          </w:tcPr>
          <w:p w14:paraId="60DDE11C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Територія, на яку матиме вплив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технічним завданням </w:t>
            </w:r>
          </w:p>
        </w:tc>
        <w:tc>
          <w:tcPr>
            <w:tcW w:w="5805" w:type="dxa"/>
            <w:gridSpan w:val="5"/>
          </w:tcPr>
          <w:p w14:paraId="3B11E33D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Хотинська міська територіальна громада</w:t>
            </w:r>
          </w:p>
        </w:tc>
      </w:tr>
      <w:tr w:rsidR="00475064" w14:paraId="7B80124B" w14:textId="77777777">
        <w:tc>
          <w:tcPr>
            <w:tcW w:w="3586" w:type="dxa"/>
          </w:tcPr>
          <w:p w14:paraId="24B45CF7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Опис проблеми,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вирішення якої спрямовано технічне завдання</w:t>
            </w:r>
          </w:p>
        </w:tc>
        <w:tc>
          <w:tcPr>
            <w:tcW w:w="5805" w:type="dxa"/>
            <w:gridSpan w:val="5"/>
          </w:tcPr>
          <w:p w14:paraId="365F27A1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проблема: відсутність сучасної спортивної бази для систематичних занять фізичною культурою і спортом учнів, молоді та в загальному населення Хотинської міської ТГ, сусідніх громад та загалом району.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капітального ремонту багатофункціонального спортивного комплексу «Хотинська дитячо-юнацька спортивна школа» стане першим кроком  для підвищення  рівня фізичної підготовленості учнів, активного дозвілля мешканців громади та району.</w:t>
            </w:r>
          </w:p>
        </w:tc>
      </w:tr>
      <w:tr w:rsidR="00475064" w14:paraId="014B0050" w14:textId="77777777">
        <w:tc>
          <w:tcPr>
            <w:tcW w:w="3586" w:type="dxa"/>
          </w:tcPr>
          <w:p w14:paraId="7B4ABA08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Очікувані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ількісні результати від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виконання технічного завдання</w:t>
            </w:r>
          </w:p>
        </w:tc>
        <w:tc>
          <w:tcPr>
            <w:tcW w:w="5805" w:type="dxa"/>
            <w:gridSpan w:val="5"/>
          </w:tcPr>
          <w:p w14:paraId="7CCFCF98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 1000 осіб, зокрема дітей та молоді Хотинської міської ТГ та сусідніх громад будуть залучені до занять фізичною культурою і спортом у багатофункціональному спортивному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ксі «Хотинська дитячо-юнацька спортивна школа»;</w:t>
            </w:r>
          </w:p>
          <w:p w14:paraId="4B5C02D0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 більше 1000 осіб, у тому числі 410 учнів-спортсменів буде забезпечено належними умовами для тренувань, проведення спортивно-масових заходів;</w:t>
            </w:r>
          </w:p>
          <w:p w14:paraId="23E4C480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експлуатацію 3 оновлених спортивних зали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углорічного функціонування із сучасною матеріально-технічною базою;</w:t>
            </w:r>
          </w:p>
          <w:p w14:paraId="1A531B4C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експлуатацію “готель” для проживання спортсменів (згідно ПКД)</w:t>
            </w:r>
          </w:p>
        </w:tc>
      </w:tr>
      <w:tr w:rsidR="00475064" w14:paraId="04333D55" w14:textId="77777777">
        <w:tc>
          <w:tcPr>
            <w:tcW w:w="3586" w:type="dxa"/>
          </w:tcPr>
          <w:p w14:paraId="3557BE67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Очікувані якісні результати від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виконання технічного завдання</w:t>
            </w:r>
          </w:p>
        </w:tc>
        <w:tc>
          <w:tcPr>
            <w:tcW w:w="5805" w:type="dxa"/>
            <w:gridSpan w:val="5"/>
          </w:tcPr>
          <w:p w14:paraId="023037E2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залучення шкільної молоді до занять фізичною культурою і спортом та їх відволікання від «вулиці»;</w:t>
            </w:r>
          </w:p>
          <w:p w14:paraId="0EDC9C81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залучення максимально можливого числа дітей і підлітків до систематичн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их занять спортом;</w:t>
            </w:r>
          </w:p>
          <w:p w14:paraId="406CAFF5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розвиток фізичних і моральних здібностей, досягнення високого рівня спортивних результатів;</w:t>
            </w:r>
          </w:p>
          <w:p w14:paraId="24A72DD9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покращення стану здоров'я населення громади (підвищення імунітету, попередження захворювань, підтримка високої працездатності) за рахунок підвище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доступності та якості занять фізичною культурою і спортом;</w:t>
            </w:r>
          </w:p>
          <w:p w14:paraId="3C96A5EA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формування, у вихованців спортивної школи, певних навичок, умінь, розвиток у них індивідуальних здібностей в обраному виді спорту й досягнення високих спортивних результатів;</w:t>
            </w:r>
          </w:p>
          <w:p w14:paraId="7A67D1CE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розвиток фізичної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культури і спорту та пропаганда здорового способу життя серед населення Хотинської міської  територіальної громади та Хотинського району;</w:t>
            </w:r>
          </w:p>
          <w:p w14:paraId="7BE8B6D5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покращення спортивної інфраструктури громади;</w:t>
            </w:r>
          </w:p>
          <w:p w14:paraId="29BAF1E8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підвищення рівня енергозбереження та енергоефективності багатофункціонал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ьного спортивного комплексу «Хотинська дитячо-юнацька спортивна школа»;</w:t>
            </w:r>
          </w:p>
          <w:p w14:paraId="03DF13BF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підвищення якості проведення спортивних заходів різного рівня на базі багатофункціонального спортивного комплексу «Хотинська дитячо-юнацька спортивна школа»;</w:t>
            </w:r>
          </w:p>
          <w:p w14:paraId="20053E49" w14:textId="77777777" w:rsidR="00475064" w:rsidRDefault="003A1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створення комфортних умов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проживання в житлових кімнатах для спортсменів, які приїжджають на змагання в багатофункціональний спортивний комплекс «Хотинська дитячо-юнацька спортивна школа»</w:t>
            </w:r>
          </w:p>
        </w:tc>
      </w:tr>
      <w:tr w:rsidR="00475064" w14:paraId="53C250EB" w14:textId="77777777">
        <w:tc>
          <w:tcPr>
            <w:tcW w:w="3586" w:type="dxa"/>
          </w:tcPr>
          <w:p w14:paraId="3CC48BF1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Основні заходи технічного завдання</w:t>
            </w:r>
          </w:p>
        </w:tc>
        <w:tc>
          <w:tcPr>
            <w:tcW w:w="5805" w:type="dxa"/>
            <w:gridSpan w:val="5"/>
          </w:tcPr>
          <w:p w14:paraId="5B3980E1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тендерних торгів, укладання договорів;</w:t>
            </w:r>
          </w:p>
          <w:p w14:paraId="481219E5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підлоги у спортивних залах закладу; </w:t>
            </w:r>
          </w:p>
          <w:p w14:paraId="79783E14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тепломережі, вікон та дверей у закладі; </w:t>
            </w:r>
          </w:p>
          <w:p w14:paraId="14F287F2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реставрація/реконструкція фасаду та покрівлі закладу; </w:t>
            </w:r>
          </w:p>
          <w:p w14:paraId="3755FA00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модернізації адміністративних приміщень та кімнат для проживання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сменів;</w:t>
            </w:r>
          </w:p>
          <w:p w14:paraId="7864967B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 населення громади через засоби масової інформації про реалізацію проекту;</w:t>
            </w:r>
          </w:p>
          <w:p w14:paraId="45EDEDA3" w14:textId="77777777" w:rsidR="00475064" w:rsidRDefault="003A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спортивних заходів в оновленому багатофункціональному спортивному комплексі «Хотинська дитячо-юнацька спортивна школа»</w:t>
            </w:r>
          </w:p>
        </w:tc>
      </w:tr>
      <w:tr w:rsidR="00475064" w14:paraId="3F27EE16" w14:textId="77777777">
        <w:tc>
          <w:tcPr>
            <w:tcW w:w="3586" w:type="dxa"/>
          </w:tcPr>
          <w:p w14:paraId="60A724E1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Обсяг фінансування 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завдання, тис. грн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073EBFF5" w14:textId="77777777" w:rsidR="00475064" w:rsidRDefault="003A1748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1118" w:type="dxa"/>
          </w:tcPr>
          <w:p w14:paraId="0D56C2EB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1133" w:type="dxa"/>
          </w:tcPr>
          <w:p w14:paraId="54806B97" w14:textId="77777777" w:rsidR="00475064" w:rsidRDefault="003A1748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1056" w:type="dxa"/>
          </w:tcPr>
          <w:p w14:paraId="5DAC5EDD" w14:textId="77777777" w:rsidR="00475064" w:rsidRDefault="003A1748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рік</w:t>
            </w:r>
          </w:p>
        </w:tc>
        <w:tc>
          <w:tcPr>
            <w:tcW w:w="1410" w:type="dxa"/>
          </w:tcPr>
          <w:p w14:paraId="38C02A6A" w14:textId="77777777" w:rsidR="00475064" w:rsidRDefault="003A1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475064" w14:paraId="303DFD57" w14:textId="77777777">
        <w:trPr>
          <w:trHeight w:val="305"/>
        </w:trPr>
        <w:tc>
          <w:tcPr>
            <w:tcW w:w="3586" w:type="dxa"/>
          </w:tcPr>
          <w:p w14:paraId="79E5AA10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088" w:type="dxa"/>
          </w:tcPr>
          <w:p w14:paraId="7ABA337A" w14:textId="77777777" w:rsidR="00475064" w:rsidRDefault="004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14:paraId="5455BF56" w14:textId="77777777" w:rsidR="00475064" w:rsidRDefault="004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789A355C" w14:textId="77777777" w:rsidR="00475064" w:rsidRDefault="004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14:paraId="4EFDF292" w14:textId="77777777" w:rsidR="00475064" w:rsidRDefault="004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</w:tcPr>
          <w:p w14:paraId="7F4FB775" w14:textId="77777777" w:rsidR="00475064" w:rsidRDefault="004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5064" w14:paraId="53A06C19" w14:textId="77777777">
        <w:trPr>
          <w:trHeight w:val="450"/>
        </w:trPr>
        <w:tc>
          <w:tcPr>
            <w:tcW w:w="3586" w:type="dxa"/>
          </w:tcPr>
          <w:p w14:paraId="552CB391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088" w:type="dxa"/>
          </w:tcPr>
          <w:p w14:paraId="2EF1AE06" w14:textId="2A524ADA" w:rsidR="00475064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8039.106</w:t>
            </w:r>
          </w:p>
        </w:tc>
        <w:tc>
          <w:tcPr>
            <w:tcW w:w="1118" w:type="dxa"/>
          </w:tcPr>
          <w:p w14:paraId="08ADE8AF" w14:textId="5BA41414" w:rsidR="00475064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2679,696</w:t>
            </w:r>
          </w:p>
        </w:tc>
        <w:tc>
          <w:tcPr>
            <w:tcW w:w="1133" w:type="dxa"/>
          </w:tcPr>
          <w:p w14:paraId="12C44683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14:paraId="0ED1C744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14:paraId="20D62D9C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10718,802</w:t>
            </w:r>
          </w:p>
        </w:tc>
      </w:tr>
      <w:tr w:rsidR="00475064" w14:paraId="45EC66AD" w14:textId="77777777">
        <w:tc>
          <w:tcPr>
            <w:tcW w:w="3586" w:type="dxa"/>
          </w:tcPr>
          <w:p w14:paraId="4C5FDE49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джерела (зазначити) </w:t>
            </w:r>
          </w:p>
        </w:tc>
        <w:tc>
          <w:tcPr>
            <w:tcW w:w="1088" w:type="dxa"/>
            <w:vAlign w:val="center"/>
          </w:tcPr>
          <w:p w14:paraId="14DF833E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vAlign w:val="center"/>
          </w:tcPr>
          <w:p w14:paraId="5DBAAA81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5D2BED8E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14:paraId="7945407E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14:paraId="70C80ECB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5064" w14:paraId="37BE935B" w14:textId="77777777">
        <w:trPr>
          <w:trHeight w:val="230"/>
        </w:trPr>
        <w:tc>
          <w:tcPr>
            <w:tcW w:w="3586" w:type="dxa"/>
          </w:tcPr>
          <w:p w14:paraId="192BC81A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088" w:type="dxa"/>
          </w:tcPr>
          <w:p w14:paraId="3FA84B56" w14:textId="1CA071FA" w:rsidR="00475064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893,234</w:t>
            </w:r>
          </w:p>
        </w:tc>
        <w:tc>
          <w:tcPr>
            <w:tcW w:w="1118" w:type="dxa"/>
          </w:tcPr>
          <w:p w14:paraId="365EFD6E" w14:textId="29648D1A" w:rsidR="00475064" w:rsidRDefault="00F6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297,744</w:t>
            </w:r>
          </w:p>
        </w:tc>
        <w:tc>
          <w:tcPr>
            <w:tcW w:w="1133" w:type="dxa"/>
          </w:tcPr>
          <w:p w14:paraId="752D40F8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14:paraId="64226C64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14:paraId="17A533BD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1190,978</w:t>
            </w:r>
            <w:bookmarkEnd w:id="0"/>
          </w:p>
        </w:tc>
      </w:tr>
      <w:tr w:rsidR="00475064" w14:paraId="3CB77EC4" w14:textId="77777777">
        <w:tc>
          <w:tcPr>
            <w:tcW w:w="3586" w:type="dxa"/>
          </w:tcPr>
          <w:p w14:paraId="2527DEA8" w14:textId="77777777" w:rsidR="00475064" w:rsidRDefault="003A1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(зазначити)</w:t>
            </w:r>
          </w:p>
        </w:tc>
        <w:tc>
          <w:tcPr>
            <w:tcW w:w="1088" w:type="dxa"/>
            <w:vAlign w:val="center"/>
          </w:tcPr>
          <w:p w14:paraId="05958949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vAlign w:val="center"/>
          </w:tcPr>
          <w:p w14:paraId="54C0561D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71B470E5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6" w:type="dxa"/>
            <w:vAlign w:val="center"/>
          </w:tcPr>
          <w:p w14:paraId="325C03A5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14:paraId="0F048D90" w14:textId="77777777" w:rsidR="00475064" w:rsidRDefault="003A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5064" w14:paraId="27D21A13" w14:textId="77777777">
        <w:tc>
          <w:tcPr>
            <w:tcW w:w="3586" w:type="dxa"/>
          </w:tcPr>
          <w:p w14:paraId="6686FA8B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Інша інформація щодо технічного завдання (за потреби)</w:t>
            </w:r>
          </w:p>
        </w:tc>
        <w:tc>
          <w:tcPr>
            <w:tcW w:w="5805" w:type="dxa"/>
            <w:gridSpan w:val="5"/>
          </w:tcPr>
          <w:p w14:paraId="6346A26D" w14:textId="77777777" w:rsidR="00475064" w:rsidRDefault="003A1748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F02A6" w14:textId="77777777" w:rsidR="00475064" w:rsidRDefault="00475064">
      <w:pPr>
        <w:shd w:val="clear" w:color="auto" w:fill="FFFFFF"/>
        <w:spacing w:after="0" w:line="240" w:lineRule="auto"/>
        <w:rPr>
          <w:color w:val="FF0000"/>
        </w:rPr>
      </w:pPr>
    </w:p>
    <w:p w14:paraId="0655798B" w14:textId="77777777" w:rsidR="00475064" w:rsidRDefault="00475064">
      <w:pPr>
        <w:shd w:val="clear" w:color="auto" w:fill="FFFFFF"/>
        <w:spacing w:after="0" w:line="240" w:lineRule="auto"/>
        <w:rPr>
          <w:color w:val="FF0000"/>
        </w:rPr>
      </w:pPr>
    </w:p>
    <w:p w14:paraId="182477CE" w14:textId="77777777" w:rsidR="00475064" w:rsidRDefault="00475064">
      <w:pPr>
        <w:shd w:val="clear" w:color="auto" w:fill="FFFFFF"/>
        <w:spacing w:after="0" w:line="240" w:lineRule="auto"/>
        <w:rPr>
          <w:color w:val="FF0000"/>
        </w:rPr>
      </w:pPr>
    </w:p>
    <w:p w14:paraId="4A14D70D" w14:textId="77777777" w:rsidR="00475064" w:rsidRDefault="00475064">
      <w:pPr>
        <w:shd w:val="clear" w:color="auto" w:fill="FFFFFF"/>
        <w:spacing w:after="0" w:line="240" w:lineRule="auto"/>
        <w:jc w:val="both"/>
        <w:rPr>
          <w:color w:val="FF0000"/>
        </w:rPr>
      </w:pPr>
    </w:p>
    <w:p w14:paraId="1C8AF6ED" w14:textId="77777777" w:rsidR="00475064" w:rsidRDefault="003A1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Фінансова сталість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полягає в тому‚ що він стосується майна комунальної власності Хотинської міської територіальної громади та здійснюється на території громади, подальше утримання об’єкту здійснюватиметься за кошти місцевого бюджету. Реалізація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суттєво покращить ситу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ацію із заняттями спортом, що вплине на зростання наповнюваності ДЮСШ. Функціонування спортивних залів дасть можливість отримувати додаткові надходження до бюджету за рахунок плати за оренду.</w:t>
      </w:r>
    </w:p>
    <w:sectPr w:rsidR="00475064">
      <w:footerReference w:type="default" r:id="rId9"/>
      <w:pgSz w:w="11906" w:h="16838"/>
      <w:pgMar w:top="1135" w:right="850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EF0E" w14:textId="77777777" w:rsidR="003A1748" w:rsidRDefault="003A1748">
      <w:pPr>
        <w:spacing w:after="0" w:line="240" w:lineRule="auto"/>
      </w:pPr>
      <w:r>
        <w:separator/>
      </w:r>
    </w:p>
  </w:endnote>
  <w:endnote w:type="continuationSeparator" w:id="0">
    <w:p w14:paraId="766792CB" w14:textId="77777777" w:rsidR="003A1748" w:rsidRDefault="003A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8351" w14:textId="77777777" w:rsidR="00475064" w:rsidRDefault="003A17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24F7">
      <w:rPr>
        <w:color w:val="000000"/>
      </w:rPr>
      <w:fldChar w:fldCharType="separate"/>
    </w:r>
    <w:r w:rsidR="00F624F7">
      <w:rPr>
        <w:noProof/>
        <w:color w:val="000000"/>
      </w:rPr>
      <w:t>1</w:t>
    </w:r>
    <w:r>
      <w:rPr>
        <w:color w:val="000000"/>
      </w:rPr>
      <w:fldChar w:fldCharType="end"/>
    </w:r>
  </w:p>
  <w:p w14:paraId="2B4EBC0B" w14:textId="77777777" w:rsidR="00475064" w:rsidRDefault="00475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D33D" w14:textId="77777777" w:rsidR="003A1748" w:rsidRDefault="003A1748">
      <w:pPr>
        <w:spacing w:after="0" w:line="240" w:lineRule="auto"/>
      </w:pPr>
      <w:r>
        <w:separator/>
      </w:r>
    </w:p>
  </w:footnote>
  <w:footnote w:type="continuationSeparator" w:id="0">
    <w:p w14:paraId="708B3082" w14:textId="77777777" w:rsidR="003A1748" w:rsidRDefault="003A1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64"/>
    <w:rsid w:val="003A1748"/>
    <w:rsid w:val="00475064"/>
    <w:rsid w:val="00F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6A3"/>
  <w15:docId w15:val="{F72633A8-F381-445F-810E-93D7CC4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ED"/>
  </w:style>
  <w:style w:type="paragraph" w:styleId="1">
    <w:name w:val="heading 1"/>
    <w:basedOn w:val="2"/>
    <w:next w:val="2"/>
    <w:uiPriority w:val="9"/>
    <w:qFormat/>
    <w:rsid w:val="00353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353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353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353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353A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353A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353A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448D6"/>
  </w:style>
  <w:style w:type="table" w:customStyle="1" w:styleId="TableNormal0">
    <w:name w:val="Table Normal"/>
    <w:rsid w:val="00944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353A8A"/>
  </w:style>
  <w:style w:type="table" w:customStyle="1" w:styleId="TableNormal1">
    <w:name w:val="Table Normal"/>
    <w:rsid w:val="00353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53A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353A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019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199D"/>
  </w:style>
  <w:style w:type="paragraph" w:styleId="ad">
    <w:name w:val="footer"/>
    <w:basedOn w:val="a"/>
    <w:link w:val="ae"/>
    <w:uiPriority w:val="99"/>
    <w:unhideWhenUsed/>
    <w:rsid w:val="009019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99D"/>
  </w:style>
  <w:style w:type="paragraph" w:styleId="af">
    <w:name w:val="Normal (Web)"/>
    <w:basedOn w:val="a"/>
    <w:uiPriority w:val="99"/>
    <w:unhideWhenUsed/>
    <w:rsid w:val="002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9448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9448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5-2014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5-2014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DaVS7ygMGdLpCLjbCO8Ir9Mww==">AMUW2mUpB3cejiCiemeiJ1V5IhOHW96HrTj9CRe3qyA0gktpQ+qT2VkBq1YpsscOncVsf5ZlyEURxbi4dk7HuWIwf1TuQoBc49dFjn7S47nlzgh6m/QRa2c=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17922</Words>
  <Characters>10216</Characters>
  <Application>Microsoft Office Word</Application>
  <DocSecurity>0</DocSecurity>
  <Lines>85</Lines>
  <Paragraphs>56</Paragraphs>
  <ScaleCrop>false</ScaleCrop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 Petrova</dc:creator>
  <cp:lastModifiedBy>Lyuba Petrova</cp:lastModifiedBy>
  <cp:revision>2</cp:revision>
  <cp:lastPrinted>2021-09-10T11:20:00Z</cp:lastPrinted>
  <dcterms:created xsi:type="dcterms:W3CDTF">2021-09-10T11:21:00Z</dcterms:created>
  <dcterms:modified xsi:type="dcterms:W3CDTF">2021-09-10T11:21:00Z</dcterms:modified>
</cp:coreProperties>
</file>