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jc w:val="right"/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  <w:sz w:val="36"/>
          <w:szCs w:val="36"/>
        </w:rPr>
        <w:t>РЕГІОНАЛЬНА ПРОГРАМА</w:t>
      </w:r>
      <w:r>
        <w:rPr>
          <w:b/>
          <w:bCs/>
          <w:sz w:val="36"/>
          <w:szCs w:val="36"/>
        </w:rPr>
        <w:br/>
      </w:r>
      <w:r>
        <w:rPr>
          <w:b/>
          <w:bCs/>
        </w:rPr>
        <w:t>підтримки внутрішньо переміщених осіб з міського  бюджету</w:t>
      </w:r>
      <w:r>
        <w:rPr>
          <w:b/>
          <w:bCs/>
        </w:rPr>
        <w:br/>
        <w:t>Хотинської ТГ  на 2024 рік</w:t>
      </w: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jc w:val="center"/>
        <w:rPr>
          <w:b/>
          <w:bCs/>
        </w:rPr>
      </w:pPr>
    </w:p>
    <w:p w:rsidR="00105DA5" w:rsidRDefault="00105DA5">
      <w:pPr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</w:rPr>
        <w:br w:type="page"/>
      </w:r>
    </w:p>
    <w:p w:rsidR="00105DA5" w:rsidRDefault="00105DA5" w:rsidP="0014630F">
      <w:pPr>
        <w:pStyle w:val="11"/>
        <w:keepNext/>
        <w:keepLines/>
      </w:pPr>
      <w:bookmarkStart w:id="0" w:name="bookmark10"/>
      <w:bookmarkStart w:id="1" w:name="bookmark11"/>
      <w:bookmarkStart w:id="2" w:name="bookmark12"/>
      <w:r>
        <w:t>І. Загальна характеристика Програми</w:t>
      </w:r>
      <w:bookmarkEnd w:id="0"/>
      <w:bookmarkEnd w:id="1"/>
      <w:bookmarkEnd w:id="2"/>
    </w:p>
    <w:p w:rsidR="00105DA5" w:rsidRDefault="00105DA5" w:rsidP="0014630F">
      <w:pPr>
        <w:pStyle w:val="1"/>
        <w:spacing w:after="0"/>
        <w:ind w:firstLine="700"/>
        <w:jc w:val="both"/>
      </w:pPr>
      <w: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недоторканність і безпека, зокрема переміщення в Хотинську ТГ жителів з територій, де ведуться бойові дії.</w:t>
      </w:r>
    </w:p>
    <w:p w:rsidR="00105DA5" w:rsidRDefault="00105DA5" w:rsidP="0014630F">
      <w:pPr>
        <w:pStyle w:val="1"/>
        <w:spacing w:after="460"/>
        <w:ind w:firstLine="700"/>
        <w:jc w:val="both"/>
      </w:pPr>
      <w:r>
        <w:t>Саме тому нагальною проблемою є надання підтримки внутрішньо переміщеним особам (далі - ВПО) та/або евакуйованим особам у зв’язку з введенням воєнного стану, шляхом фінансування заходів Регіональної програми підтримки внутрішньо переміщених осіб з міського бюджету Хотинської ТГ на 2024 рік.</w:t>
      </w:r>
    </w:p>
    <w:p w:rsidR="00105DA5" w:rsidRDefault="00105DA5" w:rsidP="0014630F">
      <w:pPr>
        <w:pStyle w:val="11"/>
        <w:keepNext/>
        <w:keepLines/>
        <w:numPr>
          <w:ilvl w:val="0"/>
          <w:numId w:val="2"/>
        </w:numPr>
        <w:tabs>
          <w:tab w:val="left" w:pos="1194"/>
        </w:tabs>
        <w:ind w:firstLine="780"/>
        <w:jc w:val="both"/>
      </w:pPr>
      <w:bookmarkStart w:id="3" w:name="bookmark15"/>
      <w:bookmarkStart w:id="4" w:name="bookmark13"/>
      <w:bookmarkStart w:id="5" w:name="bookmark14"/>
      <w:bookmarkStart w:id="6" w:name="bookmark16"/>
      <w:bookmarkEnd w:id="3"/>
      <w:r>
        <w:t>Визначення проблеми, на розв’язання якої спрямована Програма</w:t>
      </w:r>
      <w:bookmarkEnd w:id="4"/>
      <w:bookmarkEnd w:id="5"/>
      <w:bookmarkEnd w:id="6"/>
    </w:p>
    <w:p w:rsidR="00105DA5" w:rsidRDefault="00105DA5" w:rsidP="0014630F">
      <w:pPr>
        <w:pStyle w:val="1"/>
        <w:spacing w:after="0"/>
        <w:ind w:firstLine="600"/>
        <w:jc w:val="both"/>
      </w:pPr>
      <w:r>
        <w:t>У зв’язку з збройним конфліктом на території України на обліку  перебуває близько 2,5 тисяч переміщених  осіб.</w:t>
      </w:r>
    </w:p>
    <w:p w:rsidR="00105DA5" w:rsidRDefault="00105DA5" w:rsidP="0014630F">
      <w:pPr>
        <w:pStyle w:val="1"/>
        <w:ind w:firstLine="600"/>
        <w:jc w:val="both"/>
      </w:pPr>
      <w:r>
        <w:t>На цей час у закладах та установах галузі освіти, охорони здоров’я, культури, соціального захисту, громадських організаціях тощо розміщені ВПО, які мають потребу у продуктах харчування, товарах першої необхідності, гігієнічних засобах, медичних засобах тощо. Необхідно облаштовувати місця розміщення громадян, які у зв’язку з бойовими діями залишили місце проживання/перебування (вимушеним переселенцям), здійснювати оплату транспортних послуг, пально-мастильних матеріалів, здійснювати оплату інших заходів, спрямованих на підтримку цивільного населення в умовах воєнного стану.</w:t>
      </w:r>
    </w:p>
    <w:p w:rsidR="00105DA5" w:rsidRDefault="00105DA5" w:rsidP="0014630F">
      <w:pPr>
        <w:pStyle w:val="1"/>
        <w:spacing w:after="460"/>
        <w:ind w:firstLine="780"/>
        <w:jc w:val="both"/>
      </w:pPr>
      <w:r>
        <w:t>З огляду на зазначене вище та зважаючи на невизначеність тривалості воєнного стану в Україні, розв’язати існуючі проблеми ВПО можливо шляхом розробки та реалізації Регіональної програми підтримки внутрішньо переміщених осіб з міського бюджету Хотинської ТГ  на 2024 рік.</w:t>
      </w:r>
    </w:p>
    <w:p w:rsidR="00105DA5" w:rsidRDefault="00105DA5" w:rsidP="0014630F">
      <w:pPr>
        <w:pStyle w:val="11"/>
        <w:keepNext/>
        <w:keepLines/>
        <w:numPr>
          <w:ilvl w:val="0"/>
          <w:numId w:val="2"/>
        </w:numPr>
        <w:tabs>
          <w:tab w:val="left" w:pos="514"/>
        </w:tabs>
        <w:spacing w:after="340"/>
      </w:pPr>
      <w:bookmarkStart w:id="7" w:name="bookmark19"/>
      <w:bookmarkStart w:id="8" w:name="bookmark17"/>
      <w:bookmarkStart w:id="9" w:name="bookmark18"/>
      <w:bookmarkStart w:id="10" w:name="bookmark20"/>
      <w:bookmarkEnd w:id="7"/>
      <w:r>
        <w:t>Мета Програми</w:t>
      </w:r>
      <w:bookmarkEnd w:id="8"/>
      <w:bookmarkEnd w:id="9"/>
      <w:bookmarkEnd w:id="10"/>
    </w:p>
    <w:p w:rsidR="00105DA5" w:rsidRDefault="00105DA5" w:rsidP="0014630F">
      <w:pPr>
        <w:pStyle w:val="1"/>
        <w:spacing w:after="460" w:line="266" w:lineRule="auto"/>
        <w:ind w:firstLine="600"/>
        <w:jc w:val="both"/>
      </w:pPr>
      <w:r>
        <w:t>Метою Програми є здійснення комплексу заходів, спрямованих на створення належних умов для тимчасового проживання внутрішньо переміщених осіб та/або евакуйованих осіб у зв’язку із введенням воєнного стану, забезпечення їх харчуванням, товарами першої необхідності, здійснення евакуації та перевезення, оплати інших послуг, пов’язаних з підтримкою ВПО тощо.</w:t>
      </w:r>
    </w:p>
    <w:p w:rsidR="00105DA5" w:rsidRDefault="00105DA5" w:rsidP="0014630F">
      <w:pPr>
        <w:pStyle w:val="11"/>
        <w:keepNext/>
        <w:keepLines/>
        <w:numPr>
          <w:ilvl w:val="0"/>
          <w:numId w:val="2"/>
        </w:numPr>
        <w:tabs>
          <w:tab w:val="left" w:pos="505"/>
        </w:tabs>
      </w:pPr>
      <w:bookmarkStart w:id="11" w:name="bookmark23"/>
      <w:bookmarkStart w:id="12" w:name="bookmark21"/>
      <w:bookmarkStart w:id="13" w:name="bookmark22"/>
      <w:bookmarkStart w:id="14" w:name="bookmark24"/>
      <w:bookmarkEnd w:id="11"/>
      <w:r>
        <w:t>Шляхи виконання Програми</w:t>
      </w:r>
      <w:bookmarkEnd w:id="12"/>
      <w:bookmarkEnd w:id="13"/>
      <w:bookmarkEnd w:id="14"/>
    </w:p>
    <w:p w:rsidR="00105DA5" w:rsidRDefault="00105DA5" w:rsidP="0014630F">
      <w:pPr>
        <w:pStyle w:val="1"/>
        <w:spacing w:after="240"/>
        <w:ind w:firstLine="580"/>
        <w:jc w:val="both"/>
        <w:sectPr w:rsidR="00105DA5">
          <w:headerReference w:type="default" r:id="rId7"/>
          <w:pgSz w:w="11900" w:h="16840"/>
          <w:pgMar w:top="1270" w:right="443" w:bottom="1088" w:left="1271" w:header="0" w:footer="660" w:gutter="0"/>
          <w:pgNumType w:start="2"/>
          <w:cols w:space="720"/>
          <w:noEndnote/>
          <w:docGrid w:linePitch="360"/>
        </w:sectPr>
      </w:pPr>
      <w:r>
        <w:t>Програма реалізується шляхом здійснення заходів за напрямками:</w:t>
      </w:r>
    </w:p>
    <w:p w:rsidR="00105DA5" w:rsidRDefault="00105DA5" w:rsidP="0014630F">
      <w:pPr>
        <w:pStyle w:val="1"/>
        <w:spacing w:after="0" w:line="252" w:lineRule="auto"/>
        <w:ind w:firstLine="600"/>
        <w:jc w:val="both"/>
      </w:pPr>
      <w:r>
        <w:t>створення належних умов для тимчасового проживання ВПО та/або евакуйованих осіб у зв’язку із введенням воєнного стану;</w:t>
      </w:r>
    </w:p>
    <w:p w:rsidR="00105DA5" w:rsidRDefault="00105DA5" w:rsidP="0014630F">
      <w:pPr>
        <w:pStyle w:val="1"/>
        <w:spacing w:after="120" w:line="252" w:lineRule="auto"/>
        <w:ind w:firstLine="600"/>
        <w:jc w:val="both"/>
      </w:pPr>
      <w:r>
        <w:t>задоволення продовольчих потреб - закупівлю продуктів харчування, у тому числі дитячого харчування, питної води та їх доставку до місць призначення;</w:t>
      </w:r>
    </w:p>
    <w:p w:rsidR="00105DA5" w:rsidRDefault="00105DA5" w:rsidP="0014630F">
      <w:pPr>
        <w:pStyle w:val="1"/>
        <w:spacing w:after="120"/>
        <w:ind w:firstLine="600"/>
        <w:jc w:val="both"/>
      </w:pPr>
      <w:r>
        <w:t>забезпечення товарами першої необхідності, гігієнічними засобами;</w:t>
      </w:r>
    </w:p>
    <w:p w:rsidR="00105DA5" w:rsidRDefault="00105DA5" w:rsidP="0014630F">
      <w:pPr>
        <w:pStyle w:val="1"/>
        <w:spacing w:after="120"/>
        <w:ind w:firstLine="600"/>
        <w:jc w:val="both"/>
      </w:pPr>
      <w:r>
        <w:t>забезпечення медичними засобами;</w:t>
      </w:r>
    </w:p>
    <w:p w:rsidR="00105DA5" w:rsidRDefault="00105DA5" w:rsidP="0014630F">
      <w:pPr>
        <w:pStyle w:val="1"/>
        <w:spacing w:after="120"/>
        <w:ind w:firstLine="600"/>
        <w:jc w:val="both"/>
      </w:pPr>
      <w:r>
        <w:t>евакуацію/вивезення/переміщення ВПО;</w:t>
      </w:r>
    </w:p>
    <w:p w:rsidR="00105DA5" w:rsidRDefault="00105DA5" w:rsidP="0014630F">
      <w:pPr>
        <w:pStyle w:val="1"/>
        <w:spacing w:after="120"/>
        <w:ind w:firstLine="600"/>
        <w:jc w:val="both"/>
      </w:pPr>
      <w:r>
        <w:t>облаштування місць розміщення ВПО;</w:t>
      </w:r>
    </w:p>
    <w:p w:rsidR="00105DA5" w:rsidRDefault="00105DA5" w:rsidP="0014630F">
      <w:pPr>
        <w:pStyle w:val="1"/>
        <w:spacing w:after="120"/>
        <w:ind w:firstLine="600"/>
        <w:jc w:val="both"/>
      </w:pPr>
      <w:r>
        <w:t>оплату інших заходів, спрямованих на підтримку ВПО.</w:t>
      </w:r>
    </w:p>
    <w:p w:rsidR="00105DA5" w:rsidRDefault="00105DA5" w:rsidP="0014630F">
      <w:pPr>
        <w:pStyle w:val="1"/>
        <w:spacing w:after="480"/>
        <w:ind w:firstLine="600"/>
        <w:jc w:val="both"/>
      </w:pPr>
      <w:r>
        <w:t>Заходи Програми наведені в додатку 3.</w:t>
      </w:r>
    </w:p>
    <w:p w:rsidR="00105DA5" w:rsidRDefault="00105DA5" w:rsidP="0014630F">
      <w:pPr>
        <w:pStyle w:val="11"/>
        <w:keepNext/>
        <w:keepLines/>
        <w:numPr>
          <w:ilvl w:val="0"/>
          <w:numId w:val="2"/>
        </w:numPr>
        <w:tabs>
          <w:tab w:val="left" w:pos="454"/>
        </w:tabs>
        <w:spacing w:after="120"/>
      </w:pPr>
      <w:bookmarkStart w:id="15" w:name="bookmark27"/>
      <w:bookmarkStart w:id="16" w:name="bookmark25"/>
      <w:bookmarkStart w:id="17" w:name="bookmark26"/>
      <w:bookmarkStart w:id="18" w:name="bookmark28"/>
      <w:bookmarkEnd w:id="15"/>
      <w:r>
        <w:t>Обґрунтування шляхів і засобів розв’язання проблеми,</w:t>
      </w:r>
      <w:r>
        <w:br/>
        <w:t>строки виконання Програми</w:t>
      </w:r>
      <w:bookmarkEnd w:id="16"/>
      <w:bookmarkEnd w:id="17"/>
      <w:bookmarkEnd w:id="18"/>
    </w:p>
    <w:p w:rsidR="00105DA5" w:rsidRDefault="00105DA5" w:rsidP="0014630F">
      <w:pPr>
        <w:pStyle w:val="1"/>
        <w:spacing w:after="0"/>
        <w:ind w:firstLine="700"/>
        <w:jc w:val="both"/>
      </w:pPr>
      <w:r>
        <w:t>Програма включає перелік завдань і заходів, фінансування яких дасть можливість створити належні умови перебування ВПО у закладах та установах галузі освіти, охорони здоров’я, культури, соціального захисту, громадських організаціях тощо.</w:t>
      </w:r>
    </w:p>
    <w:p w:rsidR="00105DA5" w:rsidRDefault="00105DA5" w:rsidP="0014630F">
      <w:pPr>
        <w:pStyle w:val="1"/>
        <w:spacing w:after="640"/>
        <w:ind w:firstLine="700"/>
        <w:jc w:val="both"/>
      </w:pPr>
      <w:r>
        <w:t>Програма діє у 2024 році.</w:t>
      </w:r>
    </w:p>
    <w:p w:rsidR="00105DA5" w:rsidRDefault="00105DA5" w:rsidP="0014630F">
      <w:pPr>
        <w:pStyle w:val="11"/>
        <w:keepNext/>
        <w:keepLines/>
        <w:numPr>
          <w:ilvl w:val="0"/>
          <w:numId w:val="2"/>
        </w:numPr>
        <w:tabs>
          <w:tab w:val="left" w:pos="560"/>
        </w:tabs>
        <w:spacing w:after="220"/>
      </w:pPr>
      <w:bookmarkStart w:id="19" w:name="bookmark31"/>
      <w:bookmarkStart w:id="20" w:name="bookmark29"/>
      <w:bookmarkStart w:id="21" w:name="bookmark30"/>
      <w:bookmarkStart w:id="22" w:name="bookmark32"/>
      <w:bookmarkEnd w:id="19"/>
      <w:r>
        <w:t>Завдання Програми та результативні показники</w:t>
      </w:r>
      <w:bookmarkEnd w:id="20"/>
      <w:bookmarkEnd w:id="21"/>
      <w:bookmarkEnd w:id="22"/>
    </w:p>
    <w:p w:rsidR="00105DA5" w:rsidRDefault="00105DA5" w:rsidP="0014630F">
      <w:pPr>
        <w:pStyle w:val="1"/>
        <w:spacing w:after="0"/>
        <w:ind w:firstLine="700"/>
        <w:jc w:val="both"/>
      </w:pPr>
      <w:r>
        <w:t>Основним завданням Програми є вирішення проблеми забезпечення умовами для тимчасового проживання ВПО та/або евакуйованих осіб у зв’язку із введенням воєнного стану та забезпечення їх харчуванням, товарами першої необхідності тощо.</w:t>
      </w:r>
    </w:p>
    <w:p w:rsidR="00105DA5" w:rsidRDefault="00105DA5" w:rsidP="0014630F">
      <w:pPr>
        <w:pStyle w:val="1"/>
        <w:spacing w:after="640"/>
        <w:ind w:firstLine="700"/>
        <w:jc w:val="both"/>
      </w:pPr>
      <w:r>
        <w:t>Ресурсне забезпечення Програми представлено в додатку 2.</w:t>
      </w:r>
    </w:p>
    <w:p w:rsidR="00105DA5" w:rsidRDefault="00105DA5" w:rsidP="0014630F">
      <w:pPr>
        <w:pStyle w:val="11"/>
        <w:keepNext/>
        <w:keepLines/>
        <w:numPr>
          <w:ilvl w:val="0"/>
          <w:numId w:val="2"/>
        </w:numPr>
        <w:tabs>
          <w:tab w:val="left" w:pos="670"/>
        </w:tabs>
        <w:spacing w:after="120"/>
      </w:pPr>
      <w:bookmarkStart w:id="23" w:name="bookmark35"/>
      <w:bookmarkStart w:id="24" w:name="bookmark33"/>
      <w:bookmarkStart w:id="25" w:name="bookmark34"/>
      <w:bookmarkStart w:id="26" w:name="bookmark36"/>
      <w:bookmarkEnd w:id="23"/>
      <w:r>
        <w:t>Координація та контроль за ходом виконання Програми</w:t>
      </w:r>
      <w:bookmarkEnd w:id="24"/>
      <w:bookmarkEnd w:id="25"/>
      <w:bookmarkEnd w:id="26"/>
    </w:p>
    <w:p w:rsidR="00105DA5" w:rsidRDefault="00105DA5" w:rsidP="0014630F">
      <w:pPr>
        <w:pStyle w:val="1"/>
        <w:spacing w:after="0" w:line="262" w:lineRule="auto"/>
        <w:ind w:firstLine="700"/>
        <w:jc w:val="both"/>
      </w:pPr>
      <w:r>
        <w:t>Управління та координацію зусиль учасників та виконавців Програми з виконання її заходів здійснює Департамент соціального захисту населення обласної державної (військової в умовах воєнного стану) адміністрації, шляхом узагальнення оперативної інформації, що подається учасниками Програми. Відповідальність за виконання заходів Програми несуть виконавці.</w:t>
      </w:r>
    </w:p>
    <w:p w:rsidR="00105DA5" w:rsidRDefault="00105DA5" w:rsidP="0014630F">
      <w:pPr>
        <w:pStyle w:val="1"/>
        <w:spacing w:after="0" w:line="262" w:lineRule="auto"/>
        <w:ind w:firstLine="700"/>
        <w:jc w:val="both"/>
      </w:pPr>
      <w:r>
        <w:t>Учасники Програми подають звіт про виконання заходів щорічно до 25 лютого року наступного за звітним.</w:t>
      </w:r>
    </w:p>
    <w:p w:rsidR="00105DA5" w:rsidRDefault="00105DA5" w:rsidP="0014630F">
      <w:pPr>
        <w:pStyle w:val="1"/>
        <w:spacing w:after="0" w:line="240" w:lineRule="auto"/>
        <w:ind w:firstLine="700"/>
        <w:jc w:val="both"/>
      </w:pPr>
      <w:r>
        <w:t>Виконавчий комітет Хотинської міської ради здійснює контроль за станом впровадження і реалізації заходів цієї Програми і раз на рік подає Хотинській міській раді</w:t>
      </w:r>
    </w:p>
    <w:p w:rsidR="00105DA5" w:rsidRDefault="00105DA5" w:rsidP="0014630F">
      <w:pPr>
        <w:pStyle w:val="1"/>
        <w:spacing w:after="0" w:line="240" w:lineRule="auto"/>
        <w:ind w:firstLine="0"/>
        <w:jc w:val="center"/>
      </w:pPr>
      <w:r>
        <w:t>узагальнену інформацію про стан та результати виконання Програми.</w:t>
      </w:r>
    </w:p>
    <w:p w:rsidR="00105DA5" w:rsidRDefault="00105DA5">
      <w:pPr>
        <w:rPr>
          <w:rFonts w:ascii="Times New Roman" w:hAnsi="Times New Roman"/>
          <w:sz w:val="26"/>
          <w:szCs w:val="26"/>
        </w:rPr>
      </w:pPr>
      <w:r>
        <w:br w:type="page"/>
      </w:r>
    </w:p>
    <w:p w:rsidR="00105DA5" w:rsidRDefault="00105DA5" w:rsidP="0014630F">
      <w:pPr>
        <w:pStyle w:val="11"/>
        <w:keepNext/>
        <w:keepLines/>
        <w:spacing w:after="0" w:line="254" w:lineRule="auto"/>
      </w:pPr>
      <w:r>
        <w:t>Загальна характеристика</w:t>
      </w:r>
    </w:p>
    <w:p w:rsidR="00105DA5" w:rsidRDefault="00105DA5" w:rsidP="0014630F">
      <w:pPr>
        <w:pStyle w:val="1"/>
        <w:spacing w:after="420" w:line="254" w:lineRule="auto"/>
        <w:ind w:firstLine="0"/>
        <w:jc w:val="center"/>
      </w:pPr>
      <w:r>
        <w:t>місцевої програми підтримки внутрішньо переміщених осіб</w:t>
      </w:r>
      <w:r>
        <w:br/>
        <w:t>з міського бюджету Хотинської ТГ на 2024 рік</w:t>
      </w:r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4282"/>
        <w:gridCol w:w="5371"/>
      </w:tblGrid>
      <w:tr w:rsidR="00105DA5" w:rsidRPr="00B53030" w:rsidTr="00EE5A7A">
        <w:trPr>
          <w:trHeight w:hRule="exact" w:val="25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/>
              <w:ind w:firstLine="0"/>
              <w:jc w:val="both"/>
            </w:pPr>
            <w: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A5" w:rsidRDefault="00105DA5" w:rsidP="00BB72C4">
            <w:pPr>
              <w:pStyle w:val="a1"/>
              <w:spacing w:after="0" w:line="262" w:lineRule="auto"/>
              <w:ind w:firstLine="0"/>
              <w:jc w:val="both"/>
            </w:pPr>
            <w:r>
              <w:t>Закон України «Про забезпечення прав і свобод внутрішньо переміщених осіб», Закон України «Про правовий режим воєнного стану», Указ Президента України від 24.02.2022 № 64/2022 «Про введення воєнного стану» (із змінами), Указ Президента України від 24.02.2022 № 68/2022 «Про утворення військових адміністрацій»</w:t>
            </w:r>
          </w:p>
        </w:tc>
      </w:tr>
      <w:tr w:rsidR="00105DA5" w:rsidRPr="00B53030" w:rsidTr="00EE5A7A">
        <w:trPr>
          <w:trHeight w:hRule="exact" w:val="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0"/>
            </w:pPr>
            <w:r>
              <w:t>Розробник Програми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A5" w:rsidRDefault="00105DA5" w:rsidP="00EE5A7A">
            <w:pPr>
              <w:pStyle w:val="a1"/>
              <w:spacing w:after="0"/>
              <w:ind w:firstLine="0"/>
            </w:pPr>
            <w:r>
              <w:t>Виконавчий комітет міської ради</w:t>
            </w:r>
          </w:p>
        </w:tc>
      </w:tr>
      <w:tr w:rsidR="00105DA5" w:rsidRPr="00B53030" w:rsidTr="00EE5A7A">
        <w:trPr>
          <w:trHeight w:hRule="exact" w:val="25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220"/>
            </w:pPr>
            <w:r>
              <w:rPr>
                <w:b/>
                <w:bCs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0"/>
              <w:jc w:val="both"/>
            </w:pPr>
            <w:r>
              <w:t>Виконавці та учасники Програми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A5" w:rsidRDefault="00105DA5" w:rsidP="00EE5A7A">
            <w:pPr>
              <w:pStyle w:val="a1"/>
              <w:tabs>
                <w:tab w:val="left" w:pos="1219"/>
                <w:tab w:val="left" w:pos="3182"/>
              </w:tabs>
              <w:spacing w:after="0"/>
              <w:ind w:firstLine="0"/>
              <w:jc w:val="both"/>
            </w:pPr>
            <w:r>
              <w:t>Хотинська міська  рада, відділи та установи міської ради, комунальні підприємства,</w:t>
            </w:r>
          </w:p>
          <w:p w:rsidR="00105DA5" w:rsidRDefault="00105DA5" w:rsidP="00EE5A7A">
            <w:pPr>
              <w:pStyle w:val="a1"/>
              <w:spacing w:after="0"/>
              <w:ind w:firstLine="0"/>
              <w:jc w:val="both"/>
            </w:pPr>
            <w:r>
              <w:t>громадські та інші організації</w:t>
            </w:r>
          </w:p>
        </w:tc>
      </w:tr>
      <w:tr w:rsidR="00105DA5" w:rsidRPr="00B53030" w:rsidTr="00BB72C4">
        <w:trPr>
          <w:trHeight w:hRule="exact" w:val="4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220"/>
            </w:pPr>
            <w:r>
              <w:rPr>
                <w:b/>
                <w:bCs/>
              </w:rPr>
              <w:t>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0"/>
            </w:pPr>
            <w:r>
              <w:t>Строк реалізації Програми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A5" w:rsidRDefault="00105DA5" w:rsidP="002E6FE5">
            <w:pPr>
              <w:pStyle w:val="a1"/>
              <w:spacing w:after="0" w:line="240" w:lineRule="auto"/>
              <w:ind w:firstLine="0"/>
            </w:pPr>
            <w:r>
              <w:t>2024 рік</w:t>
            </w:r>
          </w:p>
        </w:tc>
      </w:tr>
      <w:tr w:rsidR="00105DA5" w:rsidRPr="00B53030" w:rsidTr="00BB72C4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220"/>
            </w:pPr>
            <w:r>
              <w:rPr>
                <w:b/>
                <w:bCs/>
              </w:rPr>
              <w:t>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DA5" w:rsidRDefault="00105DA5" w:rsidP="00315D4E">
            <w:pPr>
              <w:pStyle w:val="a1"/>
              <w:spacing w:after="0" w:line="262" w:lineRule="auto"/>
              <w:ind w:firstLine="0"/>
            </w:pPr>
            <w:r>
              <w:t>Перелік бюджетів, які беруть участь у виконанні Програми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0"/>
            </w:pPr>
            <w:r>
              <w:t xml:space="preserve"> Міський бюджет</w:t>
            </w:r>
          </w:p>
        </w:tc>
      </w:tr>
      <w:tr w:rsidR="00105DA5" w:rsidRPr="00B53030" w:rsidTr="00BB72C4">
        <w:trPr>
          <w:trHeight w:hRule="exact" w:val="6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220"/>
            </w:pPr>
            <w:r>
              <w:rPr>
                <w:b/>
                <w:bCs/>
              </w:rPr>
              <w:t>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DA5" w:rsidRDefault="00105DA5" w:rsidP="00315D4E">
            <w:pPr>
              <w:pStyle w:val="a1"/>
              <w:spacing w:after="0" w:line="240" w:lineRule="auto"/>
              <w:ind w:firstLine="0"/>
              <w:jc w:val="both"/>
            </w:pPr>
            <w:r>
              <w:t>Фінансування заходів Програми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DA5" w:rsidRDefault="00105DA5" w:rsidP="00EE5A7A">
            <w:pPr>
              <w:pStyle w:val="a1"/>
              <w:spacing w:after="0" w:line="240" w:lineRule="auto"/>
              <w:ind w:firstLine="0"/>
            </w:pPr>
            <w:r>
              <w:t>8300,0 тис грн.</w:t>
            </w:r>
          </w:p>
        </w:tc>
      </w:tr>
    </w:tbl>
    <w:p w:rsidR="00105DA5" w:rsidRDefault="00105DA5" w:rsidP="0014630F">
      <w:pPr>
        <w:pStyle w:val="1"/>
        <w:spacing w:after="0" w:line="240" w:lineRule="auto"/>
        <w:ind w:firstLine="0"/>
        <w:rPr>
          <w:b/>
          <w:bCs/>
        </w:rPr>
      </w:pPr>
    </w:p>
    <w:p w:rsidR="00105DA5" w:rsidRDefault="00105DA5" w:rsidP="0014630F">
      <w:pPr>
        <w:pStyle w:val="1"/>
        <w:spacing w:after="0" w:line="240" w:lineRule="auto"/>
        <w:ind w:firstLine="0"/>
        <w:rPr>
          <w:b/>
          <w:bCs/>
        </w:rPr>
      </w:pPr>
    </w:p>
    <w:sectPr w:rsidR="00105DA5" w:rsidSect="00B05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A5" w:rsidRDefault="00105DA5" w:rsidP="0014630F">
      <w:pPr>
        <w:spacing w:after="0" w:line="240" w:lineRule="auto"/>
      </w:pPr>
      <w:r>
        <w:separator/>
      </w:r>
    </w:p>
  </w:endnote>
  <w:endnote w:type="continuationSeparator" w:id="0">
    <w:p w:rsidR="00105DA5" w:rsidRDefault="00105DA5" w:rsidP="0014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A5" w:rsidRDefault="00105DA5" w:rsidP="0014630F">
      <w:pPr>
        <w:spacing w:after="0" w:line="240" w:lineRule="auto"/>
      </w:pPr>
      <w:r>
        <w:separator/>
      </w:r>
    </w:p>
  </w:footnote>
  <w:footnote w:type="continuationSeparator" w:id="0">
    <w:p w:rsidR="00105DA5" w:rsidRDefault="00105DA5" w:rsidP="0014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A5" w:rsidRDefault="00105DA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81B63"/>
    <w:multiLevelType w:val="multilevel"/>
    <w:tmpl w:val="C964B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1A81305"/>
    <w:multiLevelType w:val="multilevel"/>
    <w:tmpl w:val="B64ABEE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30F"/>
    <w:rsid w:val="00074B18"/>
    <w:rsid w:val="00105DA5"/>
    <w:rsid w:val="0014630F"/>
    <w:rsid w:val="00170E37"/>
    <w:rsid w:val="002C6864"/>
    <w:rsid w:val="002E6FE5"/>
    <w:rsid w:val="0030663A"/>
    <w:rsid w:val="00315D4E"/>
    <w:rsid w:val="003712AA"/>
    <w:rsid w:val="003D72A0"/>
    <w:rsid w:val="003E0A15"/>
    <w:rsid w:val="004A17C7"/>
    <w:rsid w:val="004A626D"/>
    <w:rsid w:val="005E3AFF"/>
    <w:rsid w:val="00683E98"/>
    <w:rsid w:val="006A1555"/>
    <w:rsid w:val="00724784"/>
    <w:rsid w:val="007650EF"/>
    <w:rsid w:val="007854FE"/>
    <w:rsid w:val="008754F9"/>
    <w:rsid w:val="00885EAF"/>
    <w:rsid w:val="008E55D1"/>
    <w:rsid w:val="009321E2"/>
    <w:rsid w:val="009D452E"/>
    <w:rsid w:val="00AA1ECC"/>
    <w:rsid w:val="00B05743"/>
    <w:rsid w:val="00B05D79"/>
    <w:rsid w:val="00B53030"/>
    <w:rsid w:val="00BA6DBA"/>
    <w:rsid w:val="00BB72C4"/>
    <w:rsid w:val="00BD6FCB"/>
    <w:rsid w:val="00BE1272"/>
    <w:rsid w:val="00C04D48"/>
    <w:rsid w:val="00C23D6D"/>
    <w:rsid w:val="00C410A0"/>
    <w:rsid w:val="00CD4F5A"/>
    <w:rsid w:val="00CE39BD"/>
    <w:rsid w:val="00E01437"/>
    <w:rsid w:val="00EE5A7A"/>
    <w:rsid w:val="00F46C3A"/>
    <w:rsid w:val="00FA0BAD"/>
    <w:rsid w:val="00F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14630F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Normal"/>
    <w:link w:val="a"/>
    <w:uiPriority w:val="99"/>
    <w:rsid w:val="0014630F"/>
    <w:pPr>
      <w:widowControl w:val="0"/>
      <w:spacing w:after="140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14630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14630F"/>
    <w:rPr>
      <w:rFonts w:ascii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Normal"/>
    <w:link w:val="10"/>
    <w:uiPriority w:val="99"/>
    <w:rsid w:val="0014630F"/>
    <w:pPr>
      <w:widowControl w:val="0"/>
      <w:spacing w:after="140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0">
    <w:name w:val="Колонтитул (2)"/>
    <w:basedOn w:val="Normal"/>
    <w:link w:val="2"/>
    <w:uiPriority w:val="99"/>
    <w:rsid w:val="0014630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463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63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63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30F"/>
    <w:rPr>
      <w:rFonts w:cs="Times New Roman"/>
    </w:rPr>
  </w:style>
  <w:style w:type="character" w:customStyle="1" w:styleId="a0">
    <w:name w:val="Другое_"/>
    <w:basedOn w:val="DefaultParagraphFont"/>
    <w:link w:val="a1"/>
    <w:uiPriority w:val="99"/>
    <w:locked/>
    <w:rsid w:val="0014630F"/>
    <w:rPr>
      <w:rFonts w:ascii="Times New Roman" w:hAnsi="Times New Roman" w:cs="Times New Roman"/>
      <w:sz w:val="26"/>
      <w:szCs w:val="26"/>
    </w:rPr>
  </w:style>
  <w:style w:type="paragraph" w:customStyle="1" w:styleId="a1">
    <w:name w:val="Другое"/>
    <w:basedOn w:val="Normal"/>
    <w:link w:val="a0"/>
    <w:uiPriority w:val="99"/>
    <w:rsid w:val="0014630F"/>
    <w:pPr>
      <w:widowControl w:val="0"/>
      <w:spacing w:after="140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6A1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E0A1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3273</Words>
  <Characters>1866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Andrii</dc:creator>
  <cp:keywords/>
  <dc:description/>
  <cp:lastModifiedBy>Oksana</cp:lastModifiedBy>
  <cp:revision>3</cp:revision>
  <cp:lastPrinted>2024-03-06T10:17:00Z</cp:lastPrinted>
  <dcterms:created xsi:type="dcterms:W3CDTF">2024-03-06T09:29:00Z</dcterms:created>
  <dcterms:modified xsi:type="dcterms:W3CDTF">2024-03-06T10:18:00Z</dcterms:modified>
</cp:coreProperties>
</file>